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25" w:line="675" w:lineRule="atLeast"/>
        <w:jc w:val="center"/>
        <w:outlineLvl w:val="1"/>
        <w:rPr>
          <w:rFonts w:ascii="微软雅黑" w:hAnsi="微软雅黑" w:eastAsia="微软雅黑" w:cs="宋体"/>
          <w:b/>
          <w:bCs/>
          <w:color w:val="2B2B2B"/>
          <w:kern w:val="36"/>
          <w:sz w:val="33"/>
          <w:szCs w:val="33"/>
        </w:rPr>
      </w:pPr>
      <w:r>
        <w:rPr>
          <w:rFonts w:hint="eastAsia" w:ascii="微软雅黑" w:hAnsi="微软雅黑" w:eastAsia="微软雅黑" w:cs="宋体"/>
          <w:b/>
          <w:bCs/>
          <w:color w:val="2B2B2B"/>
          <w:kern w:val="36"/>
          <w:sz w:val="33"/>
          <w:szCs w:val="33"/>
        </w:rPr>
        <w:t>屈原管理区</w:t>
      </w:r>
      <w:r>
        <w:rPr>
          <w:rFonts w:hint="eastAsia" w:ascii="微软雅黑" w:hAnsi="微软雅黑" w:eastAsia="微软雅黑" w:cs="宋体"/>
          <w:b/>
          <w:bCs/>
          <w:color w:val="2B2B2B"/>
          <w:kern w:val="36"/>
          <w:sz w:val="33"/>
          <w:szCs w:val="33"/>
          <w:lang w:eastAsia="zh-CN"/>
        </w:rPr>
        <w:t>科学技术协会</w:t>
      </w:r>
      <w:r>
        <w:rPr>
          <w:rFonts w:hint="eastAsia" w:ascii="微软雅黑" w:hAnsi="微软雅黑" w:eastAsia="微软雅黑" w:cs="宋体"/>
          <w:b/>
          <w:bCs/>
          <w:color w:val="2B2B2B"/>
          <w:kern w:val="36"/>
          <w:sz w:val="33"/>
          <w:szCs w:val="33"/>
        </w:rPr>
        <w:t>2018年度部门预算</w:t>
      </w:r>
    </w:p>
    <w:p>
      <w:pPr>
        <w:widowControl/>
        <w:shd w:val="clear" w:color="auto" w:fill="F4F4F4"/>
        <w:spacing w:line="450" w:lineRule="atLeast"/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  <w:t xml:space="preserve"> </w:t>
      </w:r>
    </w:p>
    <w:p>
      <w:pPr>
        <w:widowControl/>
        <w:jc w:val="left"/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  <w:t xml:space="preserve"> </w:t>
      </w:r>
    </w:p>
    <w:p>
      <w:pPr>
        <w:widowControl/>
        <w:jc w:val="left"/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  <w:t>一、部门职责及机构设置情况</w:t>
      </w:r>
    </w:p>
    <w:p>
      <w:pPr>
        <w:widowControl/>
        <w:jc w:val="left"/>
        <w:rPr>
          <w:rFonts w:hint="eastAsia" w:ascii="微软雅黑" w:hAnsi="微软雅黑" w:eastAsia="微软雅黑" w:cs="宋体"/>
          <w:color w:val="2B2B2B"/>
          <w:kern w:val="0"/>
          <w:sz w:val="23"/>
          <w:szCs w:val="23"/>
          <w:lang w:eastAsia="zh-CN"/>
        </w:rPr>
      </w:pP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  <w:lang w:eastAsia="zh-CN"/>
        </w:rPr>
        <w:t>反映科学技术工作者的意见和要求，维护科学技术工作者的合法权益，努力为科学技术工作者服务。组织科学技术工作者参与政治协商、科学决策、民主监督工作，为区委、区管委的全局工作服务。</w:t>
      </w:r>
    </w:p>
    <w:p>
      <w:pPr>
        <w:widowControl/>
        <w:jc w:val="left"/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  <w:t>二、2018年度部门预算表</w:t>
      </w:r>
    </w:p>
    <w:p>
      <w:pPr>
        <w:widowControl/>
        <w:jc w:val="left"/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  <w:t>（公开表格附后）。</w:t>
      </w:r>
    </w:p>
    <w:p>
      <w:pPr>
        <w:widowControl/>
        <w:jc w:val="left"/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  <w:t>三、预算执行情况分析</w:t>
      </w:r>
    </w:p>
    <w:p>
      <w:pPr>
        <w:widowControl/>
        <w:jc w:val="left"/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  <w:t>（一）介绍部门预算的基本情况。</w:t>
      </w:r>
    </w:p>
    <w:p>
      <w:pPr>
        <w:widowControl/>
        <w:jc w:val="left"/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  <w:t>1、年度收支预算情况。2018年度收入总计</w:t>
      </w: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  <w:lang w:val="en-US" w:eastAsia="zh-CN"/>
        </w:rPr>
        <w:t>28.53</w:t>
      </w: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  <w:t>万元，其中：财政拨款收入</w:t>
      </w: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  <w:lang w:val="en-US" w:eastAsia="zh-CN"/>
        </w:rPr>
        <w:t>28.53</w:t>
      </w: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  <w:t>万元。本年度支出合计</w:t>
      </w: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  <w:lang w:val="en-US" w:eastAsia="zh-CN"/>
        </w:rPr>
        <w:t>28.53</w:t>
      </w: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  <w:t>万元，其中：一般公共服务支出</w:t>
      </w: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  <w:lang w:val="en-US" w:eastAsia="zh-CN"/>
        </w:rPr>
        <w:t>28.53</w:t>
      </w: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  <w:t>万元。</w:t>
      </w:r>
    </w:p>
    <w:p>
      <w:pPr>
        <w:widowControl/>
        <w:jc w:val="left"/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  <w:t>2、年度一般公共预算财政拨款支出情况。2018年公共预算财政拨款支出</w:t>
      </w: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  <w:lang w:val="en-US" w:eastAsia="zh-CN"/>
        </w:rPr>
        <w:t>28.53</w:t>
      </w: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  <w:t>万元，其中：①基本支出</w:t>
      </w: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  <w:lang w:val="en-US" w:eastAsia="zh-CN"/>
        </w:rPr>
        <w:t>25.53</w:t>
      </w: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  <w:t>万元，主要是单位人员经费和日常公用经费开支；②项目支出</w:t>
      </w: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  <w:t>万元。</w:t>
      </w:r>
    </w:p>
    <w:p>
      <w:pPr>
        <w:widowControl/>
        <w:jc w:val="left"/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  <w:t>3、年度“三公”经费预算情况。2018年“三公”经费支出合计</w:t>
      </w: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  <w:lang w:val="en-US" w:eastAsia="zh-CN"/>
        </w:rPr>
        <w:t>3.46</w:t>
      </w: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  <w:t>万元，其中：因公出国（境）费支出0万元；公务接待费支出0.</w:t>
      </w: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  <w:t>万元；其他交通费支出0万元。</w:t>
      </w:r>
    </w:p>
    <w:p>
      <w:pPr>
        <w:widowControl/>
        <w:jc w:val="left"/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  <w:t>4、年度机关运行经费预算情况。2018年机关运行经费支出合计</w:t>
      </w: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  <w:lang w:val="en-US" w:eastAsia="zh-CN"/>
        </w:rPr>
        <w:t>25.53</w:t>
      </w: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  <w:t>万元。其中：工资福利支</w:t>
      </w: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  <w:lang w:val="en-US" w:eastAsia="zh-CN"/>
        </w:rPr>
        <w:t>20.23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  <w:t>万元，商品和服务支出</w:t>
      </w: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  <w:lang w:val="en-US" w:eastAsia="zh-CN"/>
        </w:rPr>
        <w:t>5.3</w:t>
      </w:r>
      <w:r>
        <w:rPr>
          <w:rFonts w:hint="eastAsia" w:ascii="微软雅黑" w:hAnsi="微软雅黑" w:eastAsia="微软雅黑" w:cs="宋体"/>
          <w:color w:val="2B2B2B"/>
          <w:kern w:val="0"/>
          <w:sz w:val="23"/>
          <w:szCs w:val="23"/>
        </w:rPr>
        <w:t>万元。</w:t>
      </w:r>
    </w:p>
    <w:p>
      <w:pPr>
        <w:widowControl/>
        <w:jc w:val="left"/>
        <w:rPr>
          <w:rFonts w:hint="eastAsia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8EC"/>
    <w:rsid w:val="004E6B5A"/>
    <w:rsid w:val="006576A1"/>
    <w:rsid w:val="006C28EC"/>
    <w:rsid w:val="008D7608"/>
    <w:rsid w:val="00B57FBC"/>
    <w:rsid w:val="00F30BC1"/>
    <w:rsid w:val="00F84FE4"/>
    <w:rsid w:val="6DB7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2018-06-25T08:12:00Z</dcterms:created>
  <dc:creator>Administrator</dc:creator>
  <cp:lastModifiedBy>Administrator</cp:lastModifiedBy>
  <dcterms:modified xsi:type="dcterms:W3CDTF">2018-06-25T09:06:48Z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