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eastAsia="黑体" w:cs="黑体"/>
          <w:bCs/>
          <w:sz w:val="32"/>
          <w:szCs w:val="32"/>
          <w:lang w:val="en-US" w:eastAsia="zh-CN"/>
        </w:rPr>
      </w:pPr>
      <w:r>
        <w:rPr>
          <w:rFonts w:hint="eastAsia" w:ascii="微软雅黑" w:hAnsi="微软雅黑" w:eastAsia="楷体" w:cs="宋体"/>
          <w:color w:val="2B2B2B"/>
          <w:kern w:val="0"/>
          <w:sz w:val="24"/>
          <w:szCs w:val="24"/>
        </w:rPr>
        <w:t> </w:t>
      </w:r>
      <w:r>
        <w:rPr>
          <w:rFonts w:hint="eastAsia" w:eastAsia="黑体" w:cs="黑体"/>
          <w:bCs/>
          <w:sz w:val="32"/>
          <w:szCs w:val="32"/>
        </w:rPr>
        <w:t>附件</w:t>
      </w:r>
      <w:r>
        <w:rPr>
          <w:rFonts w:hint="eastAsia" w:eastAsia="黑体" w:cs="黑体"/>
          <w:bCs/>
          <w:sz w:val="32"/>
          <w:szCs w:val="32"/>
          <w:lang w:eastAsia="zh-CN"/>
        </w:rPr>
        <w:t>九</w:t>
      </w:r>
      <w:bookmarkStart w:id="0" w:name="_GoBack"/>
      <w:bookmarkEnd w:id="0"/>
    </w:p>
    <w:p>
      <w:pPr>
        <w:spacing w:line="348" w:lineRule="auto"/>
        <w:jc w:val="center"/>
        <w:rPr>
          <w:rFonts w:eastAsia="方正小标宋简体" w:cs="Times New Roman"/>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201</w:t>
      </w:r>
      <w:r>
        <w:rPr>
          <w:rFonts w:hint="eastAsia" w:eastAsia="方正小标宋简体"/>
          <w:bCs/>
          <w:sz w:val="46"/>
          <w:szCs w:val="46"/>
          <w:lang w:val="en-US" w:eastAsia="zh-CN"/>
        </w:rPr>
        <w:t>8</w:t>
      </w:r>
      <w:r>
        <w:rPr>
          <w:rFonts w:hint="eastAsia" w:eastAsia="方正小标宋简体"/>
          <w:bCs/>
          <w:sz w:val="46"/>
          <w:szCs w:val="46"/>
        </w:rPr>
        <w:t>年度部门（单位）整体支出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szCs w:val="24"/>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u w:val="single"/>
        </w:rPr>
      </w:pPr>
      <w:r>
        <w:rPr>
          <w:rFonts w:hint="eastAsia" w:eastAsia="仿宋_GB2312"/>
          <w:sz w:val="32"/>
        </w:rPr>
        <w:t>部门</w:t>
      </w:r>
      <w:r>
        <w:rPr>
          <w:rFonts w:eastAsia="仿宋_GB2312"/>
          <w:sz w:val="32"/>
        </w:rPr>
        <w:t>(</w:t>
      </w:r>
      <w:r>
        <w:rPr>
          <w:rFonts w:hint="eastAsia" w:eastAsia="仿宋_GB2312"/>
          <w:sz w:val="32"/>
        </w:rPr>
        <w:t>单位</w:t>
      </w:r>
      <w:r>
        <w:rPr>
          <w:rFonts w:eastAsia="仿宋_GB2312"/>
          <w:sz w:val="32"/>
        </w:rPr>
        <w:t>)</w:t>
      </w:r>
      <w:r>
        <w:rPr>
          <w:rFonts w:hint="eastAsia" w:eastAsia="仿宋_GB2312"/>
          <w:sz w:val="32"/>
        </w:rPr>
        <w:t>名称</w:t>
      </w:r>
      <w:r>
        <w:rPr>
          <w:rFonts w:eastAsia="仿宋_GB2312"/>
          <w:sz w:val="32"/>
          <w:u w:val="single"/>
        </w:rPr>
        <w:t xml:space="preserve">  </w:t>
      </w:r>
      <w:r>
        <w:rPr>
          <w:rFonts w:hint="eastAsia" w:eastAsia="仿宋_GB2312"/>
          <w:sz w:val="32"/>
          <w:u w:val="single"/>
        </w:rPr>
        <w:t>岳阳市屈原管理区纪委监察局</w:t>
      </w:r>
      <w:r>
        <w:rPr>
          <w:rFonts w:eastAsia="仿宋_GB2312"/>
          <w:sz w:val="32"/>
          <w:u w:val="single"/>
        </w:rPr>
        <w:t xml:space="preserve">                             </w:t>
      </w:r>
    </w:p>
    <w:p>
      <w:pPr>
        <w:spacing w:beforeLines="50" w:line="348" w:lineRule="auto"/>
        <w:ind w:firstLine="476" w:firstLineChars="150"/>
        <w:rPr>
          <w:rFonts w:eastAsia="仿宋_GB2312"/>
          <w:sz w:val="32"/>
        </w:rPr>
      </w:pPr>
      <w:r>
        <w:rPr>
          <w:rFonts w:hint="eastAsia" w:eastAsia="仿宋_GB2312"/>
          <w:sz w:val="32"/>
        </w:rPr>
        <w:t>预算编码</w:t>
      </w:r>
      <w:r>
        <w:rPr>
          <w:rFonts w:eastAsia="仿宋_GB2312"/>
          <w:sz w:val="32"/>
          <w:u w:val="single"/>
        </w:rPr>
        <w:t xml:space="preserve">              </w:t>
      </w:r>
      <w:r>
        <w:rPr>
          <w:rFonts w:hint="eastAsia" w:eastAsia="仿宋_GB2312"/>
          <w:sz w:val="32"/>
          <w:u w:val="single"/>
        </w:rPr>
        <w:t>104</w:t>
      </w:r>
      <w:r>
        <w:rPr>
          <w:rFonts w:eastAsia="仿宋_GB2312"/>
          <w:sz w:val="32"/>
          <w:u w:val="single"/>
        </w:rPr>
        <w:t xml:space="preserve">                           </w:t>
      </w:r>
    </w:p>
    <w:p>
      <w:pPr>
        <w:spacing w:beforeLines="50" w:line="348" w:lineRule="auto"/>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348" w:lineRule="auto"/>
        <w:ind w:firstLine="476" w:firstLineChars="150"/>
        <w:rPr>
          <w:rFonts w:eastAsia="仿宋_GB2312"/>
          <w:sz w:val="32"/>
        </w:rPr>
      </w:pPr>
      <w:r>
        <w:rPr>
          <w:rFonts w:hint="eastAsia" w:eastAsia="仿宋_GB2312"/>
          <w:sz w:val="32"/>
          <w:szCs w:val="32"/>
        </w:rPr>
        <w:t>评价机构：</w:t>
      </w:r>
      <w:r>
        <w:rPr>
          <w:rFonts w:hint="eastAsia" w:eastAsia="仿宋_GB2312"/>
          <w:sz w:val="28"/>
          <w:szCs w:val="28"/>
        </w:rPr>
        <w:t>部门（单位）评价组</w:t>
      </w:r>
      <w:r>
        <w:rPr>
          <w:rFonts w:eastAsia="仿宋_GB2312"/>
          <w:sz w:val="28"/>
          <w:szCs w:val="28"/>
        </w:rPr>
        <w:t xml:space="preserve">   </w:t>
      </w:r>
    </w:p>
    <w:p>
      <w:pPr>
        <w:spacing w:line="348" w:lineRule="auto"/>
        <w:ind w:firstLine="2188" w:firstLineChars="690"/>
        <w:rPr>
          <w:rFonts w:eastAsia="仿宋_GB2312"/>
          <w:sz w:val="32"/>
        </w:rPr>
      </w:pPr>
    </w:p>
    <w:p>
      <w:pPr>
        <w:spacing w:line="348" w:lineRule="auto"/>
        <w:ind w:firstLine="2188" w:firstLineChars="690"/>
        <w:rPr>
          <w:rFonts w:eastAsia="仿宋_GB2312"/>
          <w:sz w:val="32"/>
        </w:rPr>
      </w:pPr>
    </w:p>
    <w:p>
      <w:pPr>
        <w:spacing w:line="348" w:lineRule="auto"/>
        <w:ind w:firstLine="2188" w:firstLineChars="690"/>
        <w:rPr>
          <w:rFonts w:eastAsia="仿宋_GB2312"/>
          <w:sz w:val="32"/>
        </w:rPr>
      </w:pPr>
      <w:r>
        <w:rPr>
          <w:rFonts w:hint="eastAsia" w:eastAsia="仿宋_GB2312"/>
          <w:sz w:val="32"/>
        </w:rPr>
        <w:t>报告日期：</w:t>
      </w:r>
      <w:r>
        <w:rPr>
          <w:rFonts w:eastAsia="仿宋_GB2312"/>
          <w:sz w:val="32"/>
        </w:rPr>
        <w:t xml:space="preserve">   </w:t>
      </w: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spacing w:line="348" w:lineRule="auto"/>
        <w:jc w:val="center"/>
        <w:rPr>
          <w:rFonts w:eastAsia="仿宋_GB2312"/>
          <w:sz w:val="32"/>
          <w:szCs w:val="32"/>
        </w:rPr>
        <w:sectPr>
          <w:pgSz w:w="11906" w:h="16838"/>
          <w:pgMar w:top="1701" w:right="1417" w:bottom="1701" w:left="1417" w:header="851" w:footer="992" w:gutter="0"/>
          <w:pgNumType w:fmt="numberInDash" w:start="8"/>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p>
      <w:pPr>
        <w:widowControl/>
        <w:jc w:val="left"/>
        <w:rPr>
          <w:rFonts w:ascii="楷体" w:hAnsi="楷体" w:eastAsia="楷体" w:cs="宋体"/>
          <w:kern w:val="0"/>
          <w:sz w:val="24"/>
          <w:szCs w:val="24"/>
        </w:rPr>
      </w:pPr>
    </w:p>
    <w:tbl>
      <w:tblPr>
        <w:tblStyle w:val="6"/>
        <w:tblW w:w="831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043"/>
        <w:gridCol w:w="45"/>
        <w:gridCol w:w="369"/>
        <w:gridCol w:w="679"/>
        <w:gridCol w:w="302"/>
        <w:gridCol w:w="840"/>
        <w:gridCol w:w="365"/>
        <w:gridCol w:w="841"/>
        <w:gridCol w:w="221"/>
        <w:gridCol w:w="30"/>
        <w:gridCol w:w="988"/>
        <w:gridCol w:w="58"/>
        <w:gridCol w:w="389"/>
        <w:gridCol w:w="533"/>
        <w:gridCol w:w="164"/>
        <w:gridCol w:w="354"/>
        <w:gridCol w:w="238"/>
        <w:gridCol w:w="85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一、部门（单位）基本概况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联系人</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ind w:firstLine="1200" w:firstLineChars="500"/>
              <w:rPr>
                <w:rFonts w:ascii="楷体" w:hAnsi="楷体" w:eastAsia="楷体" w:cs="宋体"/>
                <w:color w:val="2B2B2B"/>
                <w:kern w:val="0"/>
                <w:sz w:val="24"/>
                <w:szCs w:val="24"/>
              </w:rPr>
            </w:pPr>
            <w:r>
              <w:rPr>
                <w:rFonts w:hint="eastAsia" w:ascii="楷体" w:hAnsi="楷体" w:eastAsia="楷体" w:cs="宋体"/>
                <w:color w:val="2B2B2B"/>
                <w:kern w:val="0"/>
                <w:sz w:val="24"/>
                <w:szCs w:val="24"/>
              </w:rPr>
              <w:t>徐蓉</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联络电话</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13575080808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人员编制</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ind w:firstLine="1320" w:firstLineChars="550"/>
              <w:rPr>
                <w:rFonts w:ascii="楷体" w:hAnsi="楷体" w:eastAsia="楷体" w:cs="宋体"/>
                <w:color w:val="2B2B2B"/>
                <w:kern w:val="0"/>
                <w:sz w:val="24"/>
                <w:szCs w:val="24"/>
              </w:rPr>
            </w:pPr>
            <w:r>
              <w:rPr>
                <w:rFonts w:hint="eastAsia" w:ascii="楷体" w:hAnsi="楷体" w:eastAsia="楷体" w:cs="宋体"/>
                <w:color w:val="2B2B2B"/>
                <w:kern w:val="0"/>
                <w:sz w:val="24"/>
                <w:szCs w:val="24"/>
              </w:rPr>
              <w:t xml:space="preserve">16 </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实有人数</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16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职能职责概述</w:t>
            </w:r>
          </w:p>
        </w:tc>
        <w:tc>
          <w:tcPr>
            <w:tcW w:w="685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1、主管党的纪律检查工作。负责贯彻落实市纪委、区委关于加强党风廉政建设的决定，维护党的章程和其他党内法规，检查党的路线、方针、政策和决议的执行情况。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2、主管监督检查全区各部门及其工作人员、各乡镇及其主要负责人执行国家法律、法规、政策和政府决定、命令以及国民经济和社会发展计划等情况。</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负责检查并处理区直各部门、各单位、各乡镇党的组织和区管党员领导干部违反党的章程及其他党内法规的案件，决定或取消对这些案件中的党员的处分；受理党员的控告和申诉，必要时直接查处下级党的纪律检察机关管辖范围内的比较重要或复杂的案件。</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负责调查处理全区各部门及其工作人员、各乡镇及其主要负责人违反国家政策、法律法规以及违反政纪的行为；受理对行政监察对象不服政纪处分的申诉；受理个人或单位对行政监察对象违反行政纪律行为的检举、控告。</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负责作出关于维护党纪、政纪的决定，制定党风党纪和廉政教育责任制；配合有关部门做好党的纪律检查工作和行政监察工作的方针、政策和法律法规的宣传教育工作；对党员及国家工作人员进行遵纪守法、为政清廉的教育；组织和指导全区纪检监察干部的业务培训工作。</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6、负责全区纪检监察工作理论及有关问题的调查研究；拟定全区党风廉政建设的有关政策规定。</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负责区委、区管委和市委、市政府关于政风建设及纠正部门和行业不正之风工作指示、规定的贯彻落实；组织开展全区性政风建设及纠正部门和行业不正之风工作专项治理；查处政风建设及纠正部门和行业不正之风工作中发现的违纪违规问题。</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会同区直各部门党委（党组）和各乡镇党委、政府做好纪检监察干部管理工作；审核各基层纪委领导班子和各行政监察机构（内设监察机构）领导干部人选的提名、考察并提出调整、交流和任免意见；参与监督、考核其他区管干部的任用管理工作。  </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9、承办市纪委和区委、区管委交办的其他工作。</w:t>
            </w:r>
          </w:p>
          <w:p>
            <w:pPr>
              <w:widowControl/>
              <w:jc w:val="left"/>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年度主要工作内容</w:t>
            </w:r>
          </w:p>
        </w:tc>
        <w:tc>
          <w:tcPr>
            <w:tcW w:w="6857" w:type="dxa"/>
            <w:gridSpan w:val="15"/>
            <w:tcBorders>
              <w:top w:val="outset" w:color="000000" w:sz="6" w:space="0"/>
              <w:left w:val="outset" w:color="000000" w:sz="6" w:space="0"/>
              <w:bottom w:val="outset" w:color="000000" w:sz="6" w:space="0"/>
              <w:right w:val="outset" w:color="000000" w:sz="6" w:space="0"/>
            </w:tcBorders>
            <w:vAlign w:val="center"/>
          </w:tcPr>
          <w:p>
            <w:pPr>
              <w:spacing w:line="500" w:lineRule="exact"/>
              <w:rPr>
                <w:rFonts w:ascii="楷体" w:hAnsi="楷体" w:eastAsia="楷体"/>
                <w:color w:val="000000"/>
                <w:sz w:val="24"/>
                <w:szCs w:val="24"/>
              </w:rPr>
            </w:pPr>
            <w:r>
              <w:rPr>
                <w:rFonts w:hint="eastAsia" w:ascii="楷体" w:hAnsi="楷体" w:eastAsia="楷体" w:cs="宋体"/>
                <w:color w:val="2B2B2B"/>
                <w:kern w:val="0"/>
                <w:sz w:val="24"/>
                <w:szCs w:val="24"/>
              </w:rPr>
              <w:t>1、</w:t>
            </w:r>
            <w:r>
              <w:rPr>
                <w:rFonts w:hint="eastAsia" w:ascii="楷体" w:hAnsi="楷体" w:eastAsia="楷体"/>
                <w:color w:val="000000"/>
                <w:sz w:val="24"/>
                <w:szCs w:val="24"/>
              </w:rPr>
              <w:t>推动“两个责任”落实，深化党风廉政建设</w:t>
            </w:r>
          </w:p>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2、</w:t>
            </w:r>
            <w:r>
              <w:rPr>
                <w:rFonts w:hint="eastAsia" w:ascii="楷体" w:hAnsi="楷体" w:eastAsia="楷体"/>
                <w:color w:val="000000"/>
                <w:sz w:val="24"/>
                <w:szCs w:val="24"/>
              </w:rPr>
              <w:t>坚持正风肃纪，</w:t>
            </w:r>
            <w:r>
              <w:rPr>
                <w:rFonts w:hint="eastAsia" w:ascii="楷体" w:hAnsi="楷体" w:eastAsia="楷体" w:cs="宋体"/>
                <w:color w:val="000000"/>
                <w:kern w:val="0"/>
                <w:sz w:val="24"/>
                <w:szCs w:val="24"/>
              </w:rPr>
              <w:t>切实提升党员干部形象</w:t>
            </w:r>
          </w:p>
          <w:p>
            <w:pPr>
              <w:spacing w:line="500" w:lineRule="exact"/>
              <w:rPr>
                <w:rFonts w:ascii="楷体" w:hAnsi="楷体" w:eastAsia="楷体"/>
                <w:color w:val="000000"/>
                <w:sz w:val="24"/>
                <w:szCs w:val="24"/>
              </w:rPr>
            </w:pPr>
            <w:r>
              <w:rPr>
                <w:rFonts w:hint="eastAsia" w:ascii="楷体" w:hAnsi="楷体" w:eastAsia="楷体" w:cs="宋体"/>
                <w:color w:val="2B2B2B"/>
                <w:kern w:val="0"/>
                <w:sz w:val="24"/>
                <w:szCs w:val="24"/>
              </w:rPr>
              <w:t>3、</w:t>
            </w:r>
            <w:r>
              <w:rPr>
                <w:rFonts w:hint="eastAsia" w:ascii="楷体" w:hAnsi="楷体" w:eastAsia="楷体"/>
                <w:color w:val="000000"/>
                <w:sz w:val="24"/>
                <w:szCs w:val="24"/>
              </w:rPr>
              <w:t>注重专项整治，推动正风反腐向基层延伸</w:t>
            </w:r>
          </w:p>
          <w:p>
            <w:pPr>
              <w:spacing w:line="500" w:lineRule="exact"/>
              <w:rPr>
                <w:rFonts w:ascii="楷体" w:hAnsi="楷体" w:eastAsia="楷体"/>
                <w:color w:val="000000"/>
                <w:sz w:val="24"/>
                <w:szCs w:val="24"/>
              </w:rPr>
            </w:pPr>
            <w:r>
              <w:rPr>
                <w:rFonts w:hint="eastAsia" w:ascii="楷体" w:hAnsi="楷体" w:eastAsia="楷体"/>
                <w:color w:val="000000"/>
                <w:sz w:val="24"/>
                <w:szCs w:val="24"/>
              </w:rPr>
              <w:t>4</w:t>
            </w:r>
            <w:r>
              <w:rPr>
                <w:rFonts w:hint="eastAsia" w:ascii="楷体" w:hAnsi="楷体" w:eastAsia="楷体" w:cs="宋体"/>
                <w:color w:val="2B2B2B"/>
                <w:kern w:val="0"/>
                <w:sz w:val="24"/>
                <w:szCs w:val="24"/>
              </w:rPr>
              <w:t>、</w:t>
            </w:r>
            <w:r>
              <w:rPr>
                <w:rFonts w:hint="eastAsia" w:ascii="楷体" w:hAnsi="楷体" w:eastAsia="楷体" w:cs="仿宋_GB2312"/>
                <w:sz w:val="24"/>
                <w:szCs w:val="24"/>
              </w:rPr>
              <w:t>加强示范引领作用，整体推进全市“治陋习、树新风”示范区创建</w:t>
            </w:r>
          </w:p>
          <w:p>
            <w:pPr>
              <w:shd w:val="solid" w:color="FFFFFF" w:fill="auto"/>
              <w:autoSpaceDN w:val="0"/>
              <w:spacing w:line="500" w:lineRule="exact"/>
              <w:rPr>
                <w:rFonts w:ascii="楷体" w:hAnsi="楷体" w:eastAsia="楷体"/>
                <w:color w:val="000000"/>
                <w:sz w:val="24"/>
                <w:szCs w:val="24"/>
              </w:rPr>
            </w:pPr>
            <w:r>
              <w:rPr>
                <w:rFonts w:hint="eastAsia" w:ascii="楷体" w:hAnsi="楷体" w:eastAsia="楷体" w:cs="宋体"/>
                <w:color w:val="2B2B2B"/>
                <w:kern w:val="0"/>
                <w:sz w:val="24"/>
                <w:szCs w:val="24"/>
              </w:rPr>
              <w:t>5、</w:t>
            </w:r>
            <w:r>
              <w:rPr>
                <w:rFonts w:hint="eastAsia" w:ascii="楷体" w:hAnsi="楷体" w:eastAsia="楷体"/>
                <w:color w:val="000000"/>
                <w:sz w:val="24"/>
                <w:szCs w:val="24"/>
              </w:rPr>
              <w:t xml:space="preserve">把握运用“四种形态”，加大监督执纪力度 </w:t>
            </w:r>
          </w:p>
          <w:p>
            <w:pPr>
              <w:spacing w:line="500" w:lineRule="exact"/>
              <w:rPr>
                <w:rFonts w:ascii="楷体" w:hAnsi="楷体" w:eastAsia="楷体"/>
                <w:color w:val="000000"/>
                <w:sz w:val="24"/>
                <w:szCs w:val="24"/>
              </w:rPr>
            </w:pPr>
            <w:r>
              <w:rPr>
                <w:rFonts w:hint="eastAsia" w:ascii="楷体" w:hAnsi="楷体" w:eastAsia="楷体"/>
                <w:color w:val="000000"/>
                <w:sz w:val="24"/>
                <w:szCs w:val="24"/>
              </w:rPr>
              <w:t>6、落实“三转”要求，打造过硬纪检监察干部队伍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年度部门（单位）总体运行情况及取得的成绩</w:t>
            </w:r>
          </w:p>
        </w:tc>
        <w:tc>
          <w:tcPr>
            <w:tcW w:w="6857" w:type="dxa"/>
            <w:gridSpan w:val="15"/>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各项工作均取得显著成效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二、部门（单位）收支情况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年度收入情况（万元）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机构名称</w:t>
            </w:r>
          </w:p>
        </w:tc>
        <w:tc>
          <w:tcPr>
            <w:tcW w:w="1093"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收入合计</w:t>
            </w:r>
          </w:p>
        </w:tc>
        <w:tc>
          <w:tcPr>
            <w:tcW w:w="6178" w:type="dxa"/>
            <w:gridSpan w:val="1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上年结转</w:t>
            </w:r>
          </w:p>
        </w:tc>
        <w:tc>
          <w:tcPr>
            <w:tcW w:w="1206"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公共财政拨款</w:t>
            </w:r>
          </w:p>
        </w:tc>
        <w:tc>
          <w:tcPr>
            <w:tcW w:w="1239"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政府基金拨款</w:t>
            </w:r>
          </w:p>
        </w:tc>
        <w:tc>
          <w:tcPr>
            <w:tcW w:w="149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纳入专户管理的非税收入拨款</w:t>
            </w:r>
          </w:p>
        </w:tc>
        <w:tc>
          <w:tcPr>
            <w:tcW w:w="1093"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其他收入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局机关及二级机构汇总</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仿宋" w:hAnsi="仿宋" w:eastAsia="仿宋" w:cs="仿宋"/>
                <w:kern w:val="0"/>
                <w:sz w:val="28"/>
                <w:szCs w:val="28"/>
              </w:rPr>
              <w:t>242.6</w:t>
            </w: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0</w:t>
            </w:r>
          </w:p>
        </w:tc>
        <w:tc>
          <w:tcPr>
            <w:tcW w:w="1206"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仿宋" w:hAnsi="仿宋" w:eastAsia="仿宋" w:cs="仿宋"/>
                <w:kern w:val="0"/>
                <w:sz w:val="28"/>
                <w:szCs w:val="28"/>
              </w:rPr>
              <w:t>242.6</w:t>
            </w:r>
          </w:p>
        </w:tc>
        <w:tc>
          <w:tcPr>
            <w:tcW w:w="1239"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9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093"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1、局机关</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206"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239"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9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093"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2、二级机构1</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206"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239"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9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093"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3、二级机构2</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206"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239" w:type="dxa"/>
            <w:gridSpan w:val="3"/>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9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093"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机构名称</w:t>
            </w:r>
          </w:p>
        </w:tc>
        <w:tc>
          <w:tcPr>
            <w:tcW w:w="1093"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支出合计</w:t>
            </w:r>
          </w:p>
        </w:tc>
        <w:tc>
          <w:tcPr>
            <w:tcW w:w="5323" w:type="dxa"/>
            <w:gridSpan w:val="1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其中：</w:t>
            </w:r>
          </w:p>
        </w:tc>
        <w:tc>
          <w:tcPr>
            <w:tcW w:w="855"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结余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142"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基本支出</w:t>
            </w:r>
          </w:p>
        </w:tc>
        <w:tc>
          <w:tcPr>
            <w:tcW w:w="2892" w:type="dxa"/>
            <w:gridSpan w:val="7"/>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其中：</w:t>
            </w:r>
          </w:p>
        </w:tc>
        <w:tc>
          <w:tcPr>
            <w:tcW w:w="1289" w:type="dxa"/>
            <w:gridSpan w:val="4"/>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项目支出</w:t>
            </w: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人员支出</w:t>
            </w: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公用支出</w:t>
            </w:r>
          </w:p>
        </w:tc>
        <w:tc>
          <w:tcPr>
            <w:tcW w:w="0" w:type="auto"/>
            <w:gridSpan w:val="4"/>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局机关及二级机构汇总</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仿宋" w:hAnsi="仿宋" w:eastAsia="仿宋" w:cs="仿宋"/>
                <w:kern w:val="0"/>
                <w:sz w:val="28"/>
                <w:szCs w:val="28"/>
              </w:rPr>
              <w:t>242.6</w:t>
            </w: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177.32</w:t>
            </w: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103.29</w:t>
            </w: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74.03</w:t>
            </w: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65.28</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7" w:hRule="atLeast"/>
        </w:trPr>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1、局机关</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2、二级机构1</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3、二级机构2</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机构名称</w:t>
            </w:r>
          </w:p>
        </w:tc>
        <w:tc>
          <w:tcPr>
            <w:tcW w:w="1093"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三公经费</w:t>
            </w: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合计</w:t>
            </w:r>
          </w:p>
        </w:tc>
        <w:tc>
          <w:tcPr>
            <w:tcW w:w="6178" w:type="dxa"/>
            <w:gridSpan w:val="1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公务接待费</w:t>
            </w: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公务用车运维费</w:t>
            </w: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公务用车购置费</w:t>
            </w: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因公出国费</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局机关及二级机构汇总</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9.9</w:t>
            </w: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6.9</w:t>
            </w: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3</w:t>
            </w: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6" w:hRule="atLeast"/>
        </w:trPr>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1、局机关</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2、二级机构1</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3、二级机构2</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14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57"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435"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128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机构名称</w:t>
            </w:r>
          </w:p>
        </w:tc>
        <w:tc>
          <w:tcPr>
            <w:tcW w:w="1093"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固定资产</w:t>
            </w: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合计</w:t>
            </w:r>
          </w:p>
        </w:tc>
        <w:tc>
          <w:tcPr>
            <w:tcW w:w="5323" w:type="dxa"/>
            <w:gridSpan w:val="1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其中：</w:t>
            </w:r>
          </w:p>
        </w:tc>
        <w:tc>
          <w:tcPr>
            <w:tcW w:w="855"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其他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599"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在用固定资产</w:t>
            </w:r>
          </w:p>
        </w:tc>
        <w:tc>
          <w:tcPr>
            <w:tcW w:w="2724" w:type="dxa"/>
            <w:gridSpan w:val="7"/>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出租固定资产</w:t>
            </w: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局机关及二级机构汇总</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2599"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2724" w:type="dxa"/>
            <w:gridSpan w:val="7"/>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1、局机关</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2599"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2724" w:type="dxa"/>
            <w:gridSpan w:val="7"/>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2、二级机构1</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2599"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2724" w:type="dxa"/>
            <w:gridSpan w:val="7"/>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3" w:hRule="atLeast"/>
        </w:trPr>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3、二级机构2</w:t>
            </w:r>
          </w:p>
        </w:tc>
        <w:tc>
          <w:tcPr>
            <w:tcW w:w="1093"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2599"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2724" w:type="dxa"/>
            <w:gridSpan w:val="7"/>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8"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整体支出</w:t>
            </w: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绩效定性目标及实施计划完成情况</w:t>
            </w:r>
          </w:p>
        </w:tc>
        <w:tc>
          <w:tcPr>
            <w:tcW w:w="1048"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预期目标</w:t>
            </w:r>
          </w:p>
        </w:tc>
        <w:tc>
          <w:tcPr>
            <w:tcW w:w="6178" w:type="dxa"/>
            <w:gridSpan w:val="1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实际完成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048" w:type="dxa"/>
            <w:gridSpan w:val="2"/>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b/>
                <w:color w:val="000000"/>
                <w:sz w:val="24"/>
                <w:szCs w:val="24"/>
              </w:rPr>
              <w:t>深化监督执纪、落实主体责任、创新纪律教育、巡视巡察整改、加强队伍建设</w:t>
            </w:r>
          </w:p>
        </w:tc>
        <w:tc>
          <w:tcPr>
            <w:tcW w:w="6178" w:type="dxa"/>
            <w:gridSpan w:val="14"/>
            <w:tcBorders>
              <w:top w:val="outset" w:color="000000" w:sz="6" w:space="0"/>
              <w:left w:val="outset" w:color="000000" w:sz="6" w:space="0"/>
              <w:bottom w:val="outset" w:color="000000" w:sz="6" w:space="0"/>
              <w:right w:val="outset" w:color="000000" w:sz="6" w:space="0"/>
            </w:tcBorders>
            <w:vAlign w:val="center"/>
          </w:tcPr>
          <w:p>
            <w:pPr>
              <w:shd w:val="solid" w:color="FFFFFF" w:fill="auto"/>
              <w:autoSpaceDN w:val="0"/>
              <w:spacing w:line="600" w:lineRule="exact"/>
              <w:ind w:firstLine="640"/>
              <w:rPr>
                <w:rFonts w:hint="eastAsia" w:ascii="仿宋_GB2312" w:hAnsi="仿宋" w:eastAsia="仿宋_GB2312"/>
                <w:sz w:val="32"/>
                <w:szCs w:val="32"/>
              </w:rPr>
            </w:pPr>
            <w:r>
              <w:rPr>
                <w:rFonts w:hint="eastAsia" w:ascii="楷体" w:hAnsi="楷体" w:eastAsia="楷体"/>
                <w:b/>
                <w:color w:val="000000"/>
                <w:kern w:val="0"/>
                <w:sz w:val="24"/>
                <w:szCs w:val="24"/>
              </w:rPr>
              <w:t>一聚焦主责主业，监督检查“高密度”。</w:t>
            </w:r>
            <w:r>
              <w:rPr>
                <w:rFonts w:hint="eastAsia" w:ascii="楷体" w:hAnsi="楷体" w:eastAsia="楷体"/>
                <w:sz w:val="24"/>
                <w:szCs w:val="24"/>
              </w:rPr>
              <w:t>今年，我们提出要让经常检查成为常态、从严执纪成为常态、全员办案成为常态。区纪委从班子成员做起，带头当检查组长搞检查，带头当片长牵头办案，纪检干部专职、案件线索增加、执纪力度加大、震慑效应明显。特别是坚持高密度、高频率的检查，对检查结果予以通报、涉案线索予以移送，让每一个党员干部都能看到监督就在身边，形成“重遏制、强高压、长震慑”的效果。全区共组织40多轮监督检查，发现问题208个，全部督促责任单位整改到位，其中通报批评18人，诫勉谈话23人，责令作出书面检查2人，组织处理3人，党纪立案25人。</w:t>
            </w:r>
          </w:p>
          <w:p>
            <w:pPr>
              <w:spacing w:line="500" w:lineRule="exact"/>
              <w:ind w:firstLine="482" w:firstLineChars="200"/>
              <w:rPr>
                <w:rFonts w:hint="eastAsia" w:ascii="楷体" w:hAnsi="楷体" w:eastAsia="楷体"/>
                <w:sz w:val="24"/>
                <w:szCs w:val="24"/>
              </w:rPr>
            </w:pPr>
            <w:r>
              <w:rPr>
                <w:rFonts w:hint="eastAsia" w:ascii="楷体" w:hAnsi="楷体" w:eastAsia="楷体"/>
                <w:b/>
                <w:color w:val="000000"/>
                <w:kern w:val="0"/>
                <w:sz w:val="24"/>
                <w:szCs w:val="24"/>
              </w:rPr>
              <w:t>二是突出身边典型，警示教育“全天候”。</w:t>
            </w:r>
            <w:r>
              <w:rPr>
                <w:rFonts w:hint="eastAsia" w:ascii="楷体" w:hAnsi="楷体" w:eastAsia="楷体"/>
                <w:sz w:val="24"/>
                <w:szCs w:val="24"/>
              </w:rPr>
              <w:t>全区19名县处级以上领导和乡镇、部门党组织主要负责人都按要求与所属机构负责人进行了廉政谈话。特别是新提拔的党员干部实行“每提必谈”。</w:t>
            </w:r>
          </w:p>
          <w:p>
            <w:pPr>
              <w:spacing w:line="500" w:lineRule="exact"/>
              <w:ind w:firstLine="482" w:firstLineChars="200"/>
              <w:rPr>
                <w:rFonts w:hint="eastAsia" w:ascii="楷体" w:hAnsi="楷体" w:eastAsia="楷体"/>
                <w:sz w:val="24"/>
                <w:szCs w:val="24"/>
              </w:rPr>
            </w:pPr>
            <w:r>
              <w:rPr>
                <w:rFonts w:hint="eastAsia" w:ascii="楷体" w:hAnsi="楷体" w:eastAsia="楷体"/>
                <w:b/>
                <w:color w:val="000000"/>
                <w:kern w:val="0"/>
                <w:sz w:val="24"/>
                <w:szCs w:val="24"/>
              </w:rPr>
              <w:t>三是是运用四种形态警醒案中人。</w:t>
            </w:r>
            <w:r>
              <w:rPr>
                <w:rFonts w:hint="eastAsia" w:ascii="楷体" w:hAnsi="楷体" w:eastAsia="楷体"/>
                <w:sz w:val="24"/>
                <w:szCs w:val="24"/>
              </w:rPr>
              <w:t>注重纪在法前、抓早抓小，把握运用监督执纪“四种形态”，以严明的纪律推进全面从严治党。全区纪检监察机关充分运用监督执纪“四种形态”共处理208人次。运用第一种形态处理186人次，其中提醒谈话39人次，诫勉谈话46人次，约谈29人次，函询11人次，通报批评53人次，书面检查2人次，批评教育6人次，占“四种形态”处理总人次的89.4%；运用第二种形态处理19人次，其中给予党内警告9人，党内严重警告7人，政务警告1人，调整岗位1人，责令辞职1人，占“四种形态”处理总人次的9.15%；运用第三种形态处理3人次，开除党籍2人，撤销党内职务1人，占“四种形态”处理总人次的1.45%。</w:t>
            </w:r>
          </w:p>
          <w:p>
            <w:pPr>
              <w:spacing w:line="600" w:lineRule="exact"/>
              <w:ind w:firstLine="482" w:firstLineChars="200"/>
              <w:rPr>
                <w:rFonts w:hint="eastAsia" w:ascii="楷体" w:hAnsi="楷体" w:eastAsia="楷体"/>
                <w:sz w:val="24"/>
                <w:szCs w:val="24"/>
              </w:rPr>
            </w:pPr>
            <w:r>
              <w:rPr>
                <w:rFonts w:hint="eastAsia" w:ascii="楷体" w:hAnsi="楷体" w:eastAsia="楷体"/>
                <w:b/>
                <w:color w:val="000000"/>
                <w:kern w:val="0"/>
                <w:sz w:val="24"/>
                <w:szCs w:val="24"/>
                <w:lang w:eastAsia="zh-CN"/>
              </w:rPr>
              <w:t>四是</w:t>
            </w:r>
            <w:r>
              <w:rPr>
                <w:rFonts w:hint="eastAsia" w:ascii="楷体" w:hAnsi="楷体" w:eastAsia="楷体"/>
                <w:b/>
                <w:color w:val="000000"/>
                <w:kern w:val="0"/>
                <w:sz w:val="24"/>
                <w:szCs w:val="24"/>
              </w:rPr>
              <w:t>着重问题整改，实现巡察“全覆盖”。</w:t>
            </w:r>
            <w:r>
              <w:rPr>
                <w:rFonts w:hint="eastAsia" w:ascii="楷体" w:hAnsi="楷体" w:eastAsia="楷体"/>
                <w:sz w:val="24"/>
                <w:szCs w:val="24"/>
              </w:rPr>
              <w:t>三轮巡察共发现问题167个，排查线索40条，党纪立案4个，问责45人。巡察发现的问题基本得到整改，普通性问题得到有效规范。</w:t>
            </w:r>
          </w:p>
          <w:p>
            <w:pPr>
              <w:spacing w:line="500" w:lineRule="exact"/>
              <w:ind w:firstLine="480" w:firstLineChars="200"/>
              <w:rPr>
                <w:rFonts w:hint="eastAsia" w:ascii="楷体" w:hAnsi="楷体" w:eastAsia="楷体"/>
                <w:sz w:val="24"/>
                <w:szCs w:val="24"/>
              </w:rPr>
            </w:pPr>
          </w:p>
          <w:p>
            <w:pPr>
              <w:widowControl/>
              <w:jc w:val="left"/>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8"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整体支出</w:t>
            </w: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绩效定量目标及实施计划完成情况</w:t>
            </w:r>
          </w:p>
        </w:tc>
        <w:tc>
          <w:tcPr>
            <w:tcW w:w="2555"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评价内容</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绩效内容</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绩效</w:t>
            </w: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目标值</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完成情况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350"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产出目标</w:t>
            </w: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（部门工作实绩，即绩效办制定的单位年度考核计分办法中考核的部门工作实绩内容）</w:t>
            </w: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质量指标</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落实监督管理办法</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根据201</w:t>
            </w:r>
            <w:r>
              <w:rPr>
                <w:rFonts w:hint="eastAsia" w:ascii="楷体" w:hAnsi="楷体" w:eastAsia="楷体" w:cs="宋体"/>
                <w:color w:val="2B2B2B"/>
                <w:kern w:val="0"/>
                <w:sz w:val="24"/>
                <w:szCs w:val="24"/>
                <w:lang w:val="en-US" w:eastAsia="zh-CN"/>
              </w:rPr>
              <w:t>8</w:t>
            </w:r>
            <w:r>
              <w:rPr>
                <w:rFonts w:hint="eastAsia" w:ascii="楷体" w:hAnsi="楷体" w:eastAsia="楷体" w:cs="宋体"/>
                <w:color w:val="2B2B2B"/>
                <w:kern w:val="0"/>
                <w:sz w:val="24"/>
                <w:szCs w:val="24"/>
              </w:rPr>
              <w:t>年度落实党风廉政建设责任制检查考核</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数量指标</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各重要节日节点监督检查</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eastAsia="zh-CN"/>
              </w:rPr>
              <w:t>专项巡察</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微软雅黑" w:hAnsi="微软雅黑" w:eastAsia="楷体" w:cs="宋体"/>
                <w:color w:val="2B2B2B"/>
                <w:kern w:val="0"/>
                <w:sz w:val="24"/>
                <w:szCs w:val="24"/>
              </w:rPr>
              <w:t> </w:t>
            </w:r>
            <w:r>
              <w:rPr>
                <w:rFonts w:hint="eastAsia" w:ascii="微软雅黑" w:hAnsi="微软雅黑" w:eastAsia="楷体" w:cs="宋体"/>
                <w:color w:val="2B2B2B"/>
                <w:kern w:val="0"/>
                <w:sz w:val="24"/>
                <w:szCs w:val="24"/>
                <w:lang w:eastAsia="zh-CN"/>
              </w:rPr>
              <w:t>≥</w:t>
            </w:r>
            <w:r>
              <w:rPr>
                <w:rFonts w:hint="eastAsia" w:ascii="微软雅黑" w:hAnsi="微软雅黑" w:eastAsia="楷体" w:cs="宋体"/>
                <w:color w:val="2B2B2B"/>
                <w:kern w:val="0"/>
                <w:sz w:val="24"/>
                <w:szCs w:val="24"/>
                <w:lang w:val="en-US" w:eastAsia="zh-CN"/>
              </w:rPr>
              <w:t>2次</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楷体" w:hAnsi="楷体" w:eastAsia="楷体" w:cs="宋体"/>
                <w:color w:val="2B2B2B"/>
                <w:kern w:val="0"/>
                <w:sz w:val="24"/>
                <w:szCs w:val="24"/>
                <w:lang w:eastAsia="zh-CN"/>
              </w:rPr>
            </w:pPr>
            <w:r>
              <w:rPr>
                <w:rFonts w:hint="eastAsia" w:ascii="楷体" w:hAnsi="楷体" w:eastAsia="楷体" w:cs="宋体"/>
                <w:color w:val="2B2B2B"/>
                <w:kern w:val="0"/>
                <w:sz w:val="24"/>
                <w:szCs w:val="24"/>
                <w:lang w:val="en-US" w:eastAsia="zh-CN"/>
              </w:rPr>
              <w:t>3次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时效指标</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olor w:val="000000"/>
                <w:sz w:val="24"/>
                <w:szCs w:val="24"/>
              </w:rPr>
              <w:t>涉砂经营专项整治行动</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olor w:val="000000"/>
                <w:sz w:val="24"/>
                <w:szCs w:val="24"/>
              </w:rPr>
              <w:t>“雁过拔毛”式腐败问题专项整治</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成本指标</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严格控制预算费用支出</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350"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效益目标</w:t>
            </w:r>
          </w:p>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（预期实现的效益）</w:t>
            </w: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社会效益</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群众对接访满意度</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lang w:val="en-US" w:eastAsia="zh-CN"/>
              </w:rPr>
              <w:t>≥95%</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楷体" w:hAnsi="楷体" w:eastAsia="楷体" w:cs="宋体"/>
                <w:color w:val="2B2B2B"/>
                <w:kern w:val="0"/>
                <w:sz w:val="24"/>
                <w:szCs w:val="24"/>
                <w:lang w:val="en-US" w:eastAsia="zh-CN"/>
              </w:rPr>
            </w:pPr>
            <w:r>
              <w:rPr>
                <w:rFonts w:hint="eastAsia" w:ascii="楷体" w:hAnsi="楷体" w:eastAsia="楷体" w:cs="宋体"/>
                <w:color w:val="2B2B2B"/>
                <w:kern w:val="0"/>
                <w:sz w:val="24"/>
                <w:szCs w:val="24"/>
                <w:lang w:val="en-US" w:eastAsia="zh-CN"/>
              </w:rPr>
              <w:t>98%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群众对专项工作整治情况满意度100%</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经济效益</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生态效益</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205" w:type="dxa"/>
            <w:gridSpan w:val="2"/>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社会公众或服务对象满意度</w:t>
            </w: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信访事项办结率</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100%</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1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922"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611"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4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绩效自评综合得分</w:t>
            </w:r>
          </w:p>
        </w:tc>
        <w:tc>
          <w:tcPr>
            <w:tcW w:w="5876" w:type="dxa"/>
            <w:gridSpan w:val="1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438" w:type="dxa"/>
            <w:gridSpan w:val="5"/>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评价等次</w:t>
            </w:r>
          </w:p>
        </w:tc>
        <w:tc>
          <w:tcPr>
            <w:tcW w:w="5876" w:type="dxa"/>
            <w:gridSpan w:val="1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优秀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四、评价人员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姓</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名</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职务/职称</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单</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位</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签</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rPr>
                <w:rFonts w:hint="eastAsia" w:ascii="楷体" w:hAnsi="楷体" w:eastAsia="楷体" w:cs="宋体"/>
                <w:color w:val="2B2B2B"/>
                <w:kern w:val="0"/>
                <w:sz w:val="24"/>
                <w:szCs w:val="24"/>
                <w:lang w:eastAsia="zh-CN"/>
              </w:rPr>
            </w:pPr>
            <w:r>
              <w:rPr>
                <w:rFonts w:hint="eastAsia" w:ascii="楷体" w:hAnsi="楷体" w:eastAsia="楷体" w:cs="宋体"/>
                <w:color w:val="2B2B2B"/>
                <w:kern w:val="0"/>
                <w:sz w:val="24"/>
                <w:szCs w:val="24"/>
                <w:lang w:eastAsia="zh-CN"/>
              </w:rPr>
              <w:t>周吉锦</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副书记、局长</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纪委监察局</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45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3248"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2162" w:type="dxa"/>
            <w:gridSpan w:val="6"/>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c>
          <w:tcPr>
            <w:tcW w:w="1447" w:type="dxa"/>
            <w:gridSpan w:val="3"/>
            <w:tcBorders>
              <w:top w:val="outset" w:color="000000" w:sz="6" w:space="0"/>
              <w:left w:val="outset" w:color="000000" w:sz="6" w:space="0"/>
              <w:bottom w:val="outset" w:color="000000" w:sz="6" w:space="0"/>
              <w:right w:val="outset" w:color="000000" w:sz="6" w:space="0"/>
            </w:tcBorders>
            <w:vAlign w:val="center"/>
          </w:tcPr>
          <w:p>
            <w:pPr>
              <w:widowControl/>
              <w:jc w:val="center"/>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评价组组长（签字）：</w:t>
            </w:r>
          </w:p>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p>
            <w:pPr>
              <w:widowControl/>
              <w:jc w:val="left"/>
              <w:rPr>
                <w:rFonts w:ascii="楷体" w:hAnsi="楷体" w:eastAsia="楷体" w:cs="宋体"/>
                <w:color w:val="2B2B2B"/>
                <w:kern w:val="0"/>
                <w:sz w:val="24"/>
                <w:szCs w:val="24"/>
              </w:rPr>
            </w:pPr>
          </w:p>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年</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月</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8314" w:type="dxa"/>
            <w:gridSpan w:val="18"/>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部门（单位）意见：</w:t>
            </w:r>
          </w:p>
          <w:p>
            <w:pPr>
              <w:widowControl/>
              <w:jc w:val="left"/>
              <w:rPr>
                <w:rFonts w:ascii="楷体" w:hAnsi="楷体" w:eastAsia="楷体" w:cs="宋体"/>
                <w:color w:val="2B2B2B"/>
                <w:kern w:val="0"/>
                <w:sz w:val="24"/>
                <w:szCs w:val="24"/>
              </w:rPr>
            </w:pPr>
          </w:p>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部门（单位）负责人（签字）：</w:t>
            </w:r>
          </w:p>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p>
            <w:pPr>
              <w:widowControl/>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年</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月</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日</w:t>
            </w:r>
          </w:p>
          <w:p>
            <w:pPr>
              <w:widowControl/>
              <w:jc w:val="left"/>
              <w:rPr>
                <w:rFonts w:ascii="楷体" w:hAnsi="楷体" w:eastAsia="楷体" w:cs="宋体"/>
                <w:color w:val="2B2B2B"/>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4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45"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36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67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302"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84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365"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841"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21"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3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988"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58"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389"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53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1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35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238"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楷体" w:hAnsi="楷体" w:eastAsia="楷体" w:cs="宋体"/>
                <w:color w:val="2B2B2B"/>
                <w:kern w:val="0"/>
                <w:sz w:val="24"/>
                <w:szCs w:val="24"/>
              </w:rPr>
            </w:pPr>
          </w:p>
        </w:tc>
      </w:tr>
    </w:tbl>
    <w:p>
      <w:pPr>
        <w:widowControl/>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填报人（签名）：</w:t>
      </w:r>
      <w:r>
        <w:rPr>
          <w:rFonts w:hint="eastAsia" w:ascii="微软雅黑" w:hAnsi="微软雅黑" w:eastAsia="楷体" w:cs="宋体"/>
          <w:color w:val="2B2B2B"/>
          <w:kern w:val="0"/>
          <w:sz w:val="24"/>
          <w:szCs w:val="24"/>
        </w:rPr>
        <w:t>                         </w:t>
      </w:r>
      <w:r>
        <w:rPr>
          <w:rFonts w:hint="eastAsia" w:ascii="楷体" w:hAnsi="楷体" w:eastAsia="楷体" w:cs="宋体"/>
          <w:color w:val="2B2B2B"/>
          <w:kern w:val="0"/>
          <w:sz w:val="24"/>
          <w:szCs w:val="24"/>
        </w:rPr>
        <w:t xml:space="preserve"> 联系电话：</w:t>
      </w:r>
    </w:p>
    <w:tbl>
      <w:tblPr>
        <w:tblStyle w:val="6"/>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1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9990" w:type="dxa"/>
            <w:tcBorders>
              <w:top w:val="outset" w:color="000000" w:sz="6" w:space="0"/>
              <w:left w:val="outset" w:color="000000" w:sz="6" w:space="0"/>
              <w:bottom w:val="outset" w:color="000000" w:sz="6" w:space="0"/>
              <w:right w:val="outset" w:color="000000" w:sz="6" w:space="0"/>
            </w:tcBorders>
          </w:tcPr>
          <w:p>
            <w:pPr>
              <w:widowControl/>
              <w:spacing w:line="400" w:lineRule="exact"/>
              <w:jc w:val="center"/>
              <w:rPr>
                <w:rFonts w:ascii="楷体" w:hAnsi="楷体" w:eastAsia="楷体" w:cs="宋体"/>
                <w:color w:val="2B2B2B"/>
                <w:kern w:val="0"/>
                <w:sz w:val="24"/>
                <w:szCs w:val="24"/>
              </w:rPr>
            </w:pPr>
            <w:r>
              <w:rPr>
                <w:rFonts w:hint="eastAsia" w:ascii="楷体" w:hAnsi="楷体" w:eastAsia="楷体" w:cs="宋体"/>
                <w:color w:val="2B2B2B"/>
                <w:kern w:val="0"/>
                <w:sz w:val="24"/>
                <w:szCs w:val="24"/>
              </w:rPr>
              <w:t>五、评价报告综述（文字部分）</w:t>
            </w:r>
          </w:p>
          <w:p>
            <w:pPr>
              <w:widowControl/>
              <w:spacing w:line="400" w:lineRule="exact"/>
              <w:jc w:val="left"/>
              <w:rPr>
                <w:rFonts w:ascii="楷体" w:hAnsi="楷体" w:eastAsia="楷体" w:cs="宋体"/>
                <w:color w:val="2B2B2B"/>
                <w:kern w:val="0"/>
                <w:sz w:val="24"/>
                <w:szCs w:val="24"/>
              </w:rPr>
            </w:pPr>
            <w:r>
              <w:rPr>
                <w:rFonts w:hint="eastAsia" w:ascii="微软雅黑" w:hAnsi="微软雅黑" w:eastAsia="楷体" w:cs="宋体"/>
                <w:color w:val="2B2B2B"/>
                <w:kern w:val="0"/>
                <w:sz w:val="24"/>
                <w:szCs w:val="24"/>
              </w:rPr>
              <w:t> </w:t>
            </w:r>
          </w:p>
          <w:p>
            <w:pPr>
              <w:widowControl/>
              <w:spacing w:line="400" w:lineRule="exact"/>
              <w:ind w:firstLine="360" w:firstLineChars="15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一、单位概况</w:t>
            </w:r>
          </w:p>
          <w:p>
            <w:pPr>
              <w:widowControl/>
              <w:spacing w:line="400" w:lineRule="exact"/>
              <w:ind w:firstLine="240" w:firstLineChars="10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（一）职能</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1、主管党的纪律检查工作。负责贯彻落实市纪委、区委关于加强党风廉政建设的决定，维护党的章程和其他党内法规，检查党的路线、方针、政策和决议的执行情况。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2、主管监督检查全区各部门及其工作人员、各乡镇及其主要负责人执行国家法律、法规、政策和政府决定、命令以及国民经济和社会发展计划等情况。</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负责检查并处理区直各部门、各单位、各乡镇党的组织和区管党员领导干部违反党的章程及其他党内法规的案件，决定或取消对这些案件中的党员的处分；受理党员的控告和申诉，必要时直接查处下级党的纪律检察机关管辖范围内的比较重要或复杂的案件。</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负责调查处理全区各部门及其工作人员、各乡镇及其主要负责人违反国家政策、法律法规以及违反政纪的行为；受理对行政监察对象不服政纪处分的申诉；受理个人或单位对行政监察对象违反行政纪律行为的检举、控告。</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负责作出关于维护党纪、政纪的决定，制定党风党纪和廉政教育责任制；配合有关部门做好党的纪律检查工作和行政监察工作的方针、政策和法律法规的宣传教育工作；对党员及国家工作人员进行遵纪守法、为政清廉的教育；组织和指导全区纪检监察干部的业务培训工作。</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6、负责全区纪检监察工作理论及有关问题的调查研究；拟定全区党风廉政建设的有关政策规定。</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负责区委、区管委和市委、市政府关于政风建设及纠正部门和行业不正之风工作指示、规定的贯彻落实；组织开展全区性政风建设及纠正部门和行业不正之风工作专项治理；查处政风建设及纠正部门和行业不正之风工作中发现的违纪违规问题。</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会同区直各部门党委（党组）和各乡镇党委、政府做好纪检监察干部管理工作；审核各基层纪委领导班子和各行政监察机构（内设监察机构）领导干部人选的提名、考察并提出调整、交流和任免意见；参与监督、考核其他区管干部的任用管理工作。  </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9、承办市纪委和区委、区管委交办的其他工作。</w:t>
            </w:r>
          </w:p>
          <w:p>
            <w:pPr>
              <w:widowControl/>
              <w:spacing w:line="400" w:lineRule="exact"/>
              <w:ind w:firstLine="360" w:firstLineChars="15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（二）部门（单位）整体支出规模、使用方向和主要内容、涉及范围等</w:t>
            </w:r>
          </w:p>
          <w:p>
            <w:pPr>
              <w:widowControl/>
              <w:spacing w:line="400" w:lineRule="exact"/>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本单位201</w:t>
            </w:r>
            <w:r>
              <w:rPr>
                <w:rFonts w:hint="eastAsia" w:ascii="楷体" w:hAnsi="楷体" w:eastAsia="楷体" w:cs="宋体"/>
                <w:color w:val="2B2B2B"/>
                <w:kern w:val="0"/>
                <w:sz w:val="24"/>
                <w:szCs w:val="24"/>
                <w:lang w:val="en-US" w:eastAsia="zh-CN"/>
              </w:rPr>
              <w:t>8</w:t>
            </w:r>
            <w:r>
              <w:rPr>
                <w:rFonts w:hint="eastAsia" w:ascii="楷体" w:hAnsi="楷体" w:eastAsia="楷体" w:cs="宋体"/>
                <w:color w:val="2B2B2B"/>
                <w:kern w:val="0"/>
                <w:sz w:val="24"/>
                <w:szCs w:val="24"/>
              </w:rPr>
              <w:t>年支出合计</w:t>
            </w:r>
            <w:r>
              <w:rPr>
                <w:rFonts w:hint="eastAsia" w:ascii="楷体" w:hAnsi="楷体" w:eastAsia="楷体" w:cs="宋体"/>
                <w:color w:val="2B2B2B"/>
                <w:kern w:val="0"/>
                <w:sz w:val="24"/>
                <w:szCs w:val="24"/>
                <w:lang w:val="en-US" w:eastAsia="zh-CN"/>
              </w:rPr>
              <w:t>242.6</w:t>
            </w:r>
            <w:r>
              <w:rPr>
                <w:rFonts w:hint="eastAsia" w:ascii="楷体" w:hAnsi="楷体" w:eastAsia="楷体" w:cs="宋体"/>
                <w:color w:val="2B2B2B"/>
                <w:kern w:val="0"/>
                <w:sz w:val="24"/>
                <w:szCs w:val="24"/>
              </w:rPr>
              <w:t>万元，其中</w:t>
            </w:r>
            <w:r>
              <w:rPr>
                <w:rFonts w:hint="eastAsia" w:ascii="楷体" w:hAnsi="楷体" w:eastAsia="楷体" w:cs="宋体"/>
                <w:color w:val="2B2B2B"/>
                <w:kern w:val="0"/>
                <w:sz w:val="24"/>
                <w:szCs w:val="24"/>
                <w:lang w:val="en-US" w:eastAsia="zh-CN"/>
              </w:rPr>
              <w:t>177.32万元</w:t>
            </w:r>
            <w:r>
              <w:rPr>
                <w:rFonts w:hint="eastAsia" w:ascii="楷体" w:hAnsi="楷体" w:eastAsia="楷体" w:cs="宋体"/>
                <w:color w:val="2B2B2B"/>
                <w:kern w:val="0"/>
                <w:sz w:val="24"/>
                <w:szCs w:val="24"/>
              </w:rPr>
              <w:t>为基本支出，其中，人员支出</w:t>
            </w:r>
            <w:r>
              <w:rPr>
                <w:rFonts w:hint="eastAsia" w:ascii="楷体" w:hAnsi="楷体" w:eastAsia="楷体" w:cs="宋体"/>
                <w:color w:val="2B2B2B"/>
                <w:kern w:val="0"/>
                <w:sz w:val="24"/>
                <w:szCs w:val="24"/>
                <w:lang w:val="en-US" w:eastAsia="zh-CN"/>
              </w:rPr>
              <w:t>103.29</w:t>
            </w:r>
            <w:r>
              <w:rPr>
                <w:rFonts w:hint="eastAsia" w:ascii="楷体" w:hAnsi="楷体" w:eastAsia="楷体" w:cs="宋体"/>
                <w:color w:val="2B2B2B"/>
                <w:kern w:val="0"/>
                <w:sz w:val="24"/>
                <w:szCs w:val="24"/>
              </w:rPr>
              <w:t>万元，公用支出</w:t>
            </w:r>
            <w:r>
              <w:rPr>
                <w:rFonts w:hint="eastAsia" w:ascii="楷体" w:hAnsi="楷体" w:eastAsia="楷体" w:cs="宋体"/>
                <w:color w:val="2B2B2B"/>
                <w:kern w:val="0"/>
                <w:sz w:val="24"/>
                <w:szCs w:val="24"/>
                <w:lang w:val="en-US" w:eastAsia="zh-CN"/>
              </w:rPr>
              <w:t>74.03</w:t>
            </w:r>
            <w:r>
              <w:rPr>
                <w:rFonts w:hint="eastAsia" w:ascii="楷体" w:hAnsi="楷体" w:eastAsia="楷体" w:cs="宋体"/>
                <w:color w:val="2B2B2B"/>
                <w:kern w:val="0"/>
                <w:sz w:val="24"/>
                <w:szCs w:val="24"/>
              </w:rPr>
              <w:t>万元，项目支出为</w:t>
            </w:r>
            <w:r>
              <w:rPr>
                <w:rFonts w:hint="eastAsia" w:ascii="楷体" w:hAnsi="楷体" w:eastAsia="楷体" w:cs="宋体"/>
                <w:color w:val="2B2B2B"/>
                <w:kern w:val="0"/>
                <w:sz w:val="24"/>
                <w:szCs w:val="24"/>
                <w:lang w:val="en-US" w:eastAsia="zh-CN"/>
              </w:rPr>
              <w:t>65.28</w:t>
            </w:r>
            <w:r>
              <w:rPr>
                <w:rFonts w:hint="eastAsia" w:ascii="楷体" w:hAnsi="楷体" w:eastAsia="楷体" w:cs="宋体"/>
                <w:color w:val="2B2B2B"/>
                <w:kern w:val="0"/>
                <w:sz w:val="24"/>
                <w:szCs w:val="24"/>
              </w:rPr>
              <w:t>万元。</w:t>
            </w:r>
          </w:p>
          <w:p>
            <w:pPr>
              <w:widowControl/>
              <w:spacing w:line="400" w:lineRule="exact"/>
              <w:ind w:firstLine="360" w:firstLineChars="15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二、单位整体支出管理及使用情况</w:t>
            </w:r>
          </w:p>
          <w:p>
            <w:pPr>
              <w:widowControl/>
              <w:spacing w:line="400" w:lineRule="exact"/>
              <w:ind w:firstLine="240" w:firstLineChars="10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（一）基本支出</w:t>
            </w:r>
          </w:p>
          <w:p>
            <w:pPr>
              <w:widowControl/>
              <w:spacing w:line="400" w:lineRule="exact"/>
              <w:ind w:firstLine="360" w:firstLineChars="15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基本支出情况：全年支出</w:t>
            </w:r>
            <w:r>
              <w:rPr>
                <w:rFonts w:hint="eastAsia" w:ascii="楷体" w:hAnsi="楷体" w:eastAsia="楷体" w:cs="宋体"/>
                <w:color w:val="2B2B2B"/>
                <w:kern w:val="0"/>
                <w:sz w:val="24"/>
                <w:szCs w:val="24"/>
                <w:lang w:val="en-US" w:eastAsia="zh-CN"/>
              </w:rPr>
              <w:t>177.32</w:t>
            </w:r>
            <w:r>
              <w:rPr>
                <w:rFonts w:hint="eastAsia" w:ascii="楷体" w:hAnsi="楷体" w:eastAsia="楷体" w:cs="宋体"/>
                <w:color w:val="2B2B2B"/>
                <w:kern w:val="0"/>
                <w:sz w:val="24"/>
                <w:szCs w:val="24"/>
              </w:rPr>
              <w:t>万元，其中工资福利支出：</w:t>
            </w:r>
            <w:r>
              <w:rPr>
                <w:rFonts w:hint="eastAsia" w:ascii="楷体" w:hAnsi="楷体" w:eastAsia="楷体" w:cs="宋体"/>
                <w:color w:val="2B2B2B"/>
                <w:kern w:val="0"/>
                <w:sz w:val="24"/>
                <w:szCs w:val="24"/>
                <w:lang w:val="en-US" w:eastAsia="zh-CN"/>
              </w:rPr>
              <w:t>103.29</w:t>
            </w:r>
            <w:r>
              <w:rPr>
                <w:rFonts w:hint="eastAsia" w:ascii="楷体" w:hAnsi="楷体" w:eastAsia="楷体" w:cs="宋体"/>
                <w:color w:val="2B2B2B"/>
                <w:kern w:val="0"/>
                <w:sz w:val="24"/>
                <w:szCs w:val="24"/>
              </w:rPr>
              <w:t>万元，商品和服务支出</w:t>
            </w:r>
            <w:r>
              <w:rPr>
                <w:rFonts w:hint="eastAsia" w:ascii="楷体" w:hAnsi="楷体" w:eastAsia="楷体" w:cs="宋体"/>
                <w:color w:val="2B2B2B"/>
                <w:kern w:val="0"/>
                <w:sz w:val="24"/>
                <w:szCs w:val="24"/>
                <w:lang w:val="en-US" w:eastAsia="zh-CN"/>
              </w:rPr>
              <w:t>74.03</w:t>
            </w:r>
            <w:r>
              <w:rPr>
                <w:rFonts w:hint="eastAsia" w:ascii="楷体" w:hAnsi="楷体" w:eastAsia="楷体" w:cs="宋体"/>
                <w:color w:val="2B2B2B"/>
                <w:kern w:val="0"/>
                <w:sz w:val="24"/>
                <w:szCs w:val="24"/>
              </w:rPr>
              <w:t>万元</w:t>
            </w:r>
          </w:p>
          <w:p>
            <w:pPr>
              <w:widowControl/>
              <w:spacing w:line="400" w:lineRule="exact"/>
              <w:ind w:firstLine="360" w:firstLineChars="150"/>
              <w:jc w:val="left"/>
              <w:rPr>
                <w:rFonts w:ascii="楷体" w:hAnsi="楷体" w:eastAsia="楷体" w:cs="宋体"/>
                <w:color w:val="2B2B2B"/>
                <w:kern w:val="0"/>
                <w:sz w:val="24"/>
                <w:szCs w:val="24"/>
              </w:rPr>
            </w:pPr>
            <w:r>
              <w:rPr>
                <w:rFonts w:hint="eastAsia" w:ascii="楷体" w:hAnsi="楷体" w:eastAsia="楷体" w:cs="宋体"/>
                <w:color w:val="2B2B2B"/>
                <w:kern w:val="0"/>
                <w:sz w:val="24"/>
                <w:szCs w:val="24"/>
              </w:rPr>
              <w:t>三、单位整体支出绩效情况</w:t>
            </w:r>
          </w:p>
          <w:p>
            <w:pPr>
              <w:shd w:val="solid" w:color="FFFFFF" w:fill="auto"/>
              <w:autoSpaceDN w:val="0"/>
              <w:spacing w:line="600" w:lineRule="exact"/>
              <w:ind w:firstLine="640"/>
              <w:rPr>
                <w:rFonts w:hint="eastAsia" w:ascii="仿宋_GB2312" w:hAnsi="仿宋" w:eastAsia="仿宋_GB2312"/>
                <w:sz w:val="32"/>
                <w:szCs w:val="32"/>
              </w:rPr>
            </w:pPr>
            <w:r>
              <w:rPr>
                <w:rFonts w:hint="eastAsia" w:ascii="楷体" w:hAnsi="楷体" w:eastAsia="楷体"/>
                <w:b/>
                <w:color w:val="000000"/>
                <w:kern w:val="0"/>
                <w:sz w:val="24"/>
                <w:szCs w:val="24"/>
              </w:rPr>
              <w:t>一聚焦主责主业，监督检查“高密度”。</w:t>
            </w:r>
            <w:r>
              <w:rPr>
                <w:rFonts w:hint="eastAsia" w:ascii="楷体" w:hAnsi="楷体" w:eastAsia="楷体"/>
                <w:sz w:val="24"/>
                <w:szCs w:val="24"/>
              </w:rPr>
              <w:t>今年，我们提出要让经常检查成为常态、从严执纪成为常态、全员办案成为常态。区纪委从班子成员做起，带头当检查组长搞检查，带头当片长牵头办案，纪检干部专职、案件线索增加、执纪力度加大、震慑效应明显。特别是坚持高密度、高频率的检查，对检查结果予以通报、涉案线索予以移送，让每一个党员干部都能看到监督就在身边，形成“重遏制、强高压、长震慑”的效果。全区共组织40多轮监督检查，发现问题208个，全部督促责任单位整改到位，其中通报批评18人，诫勉谈话23人，责令作出书面检查2人，组织处理3人，党纪立案25人。</w:t>
            </w:r>
          </w:p>
          <w:p>
            <w:pPr>
              <w:spacing w:line="500" w:lineRule="exact"/>
              <w:ind w:firstLine="482" w:firstLineChars="200"/>
              <w:rPr>
                <w:rFonts w:hint="eastAsia" w:ascii="楷体" w:hAnsi="楷体" w:eastAsia="楷体"/>
                <w:sz w:val="24"/>
                <w:szCs w:val="24"/>
              </w:rPr>
            </w:pPr>
            <w:r>
              <w:rPr>
                <w:rFonts w:hint="eastAsia" w:ascii="楷体" w:hAnsi="楷体" w:eastAsia="楷体"/>
                <w:b/>
                <w:color w:val="000000"/>
                <w:kern w:val="0"/>
                <w:sz w:val="24"/>
                <w:szCs w:val="24"/>
              </w:rPr>
              <w:t>二是突出身边典型，警示教育“全天候”。</w:t>
            </w:r>
            <w:r>
              <w:rPr>
                <w:rFonts w:hint="eastAsia" w:ascii="楷体" w:hAnsi="楷体" w:eastAsia="楷体"/>
                <w:sz w:val="24"/>
                <w:szCs w:val="24"/>
              </w:rPr>
              <w:t>全区19名县处级以上领导和乡镇、部门党组织主要负责人都按要求与所属机构负责人进行了廉政谈话。特别是新提拔的党员干部实行“每提必谈”。</w:t>
            </w:r>
          </w:p>
          <w:p>
            <w:pPr>
              <w:spacing w:line="500" w:lineRule="exact"/>
              <w:ind w:firstLine="482" w:firstLineChars="200"/>
              <w:rPr>
                <w:rFonts w:hint="eastAsia" w:ascii="楷体" w:hAnsi="楷体" w:eastAsia="楷体"/>
                <w:sz w:val="24"/>
                <w:szCs w:val="24"/>
              </w:rPr>
            </w:pPr>
            <w:r>
              <w:rPr>
                <w:rFonts w:hint="eastAsia" w:ascii="楷体" w:hAnsi="楷体" w:eastAsia="楷体"/>
                <w:b/>
                <w:color w:val="000000"/>
                <w:kern w:val="0"/>
                <w:sz w:val="24"/>
                <w:szCs w:val="24"/>
              </w:rPr>
              <w:t>三是是运用四种形态警醒案中人。</w:t>
            </w:r>
            <w:r>
              <w:rPr>
                <w:rFonts w:hint="eastAsia" w:ascii="楷体" w:hAnsi="楷体" w:eastAsia="楷体"/>
                <w:sz w:val="24"/>
                <w:szCs w:val="24"/>
              </w:rPr>
              <w:t>注重纪在法前、抓早抓小，把握运用监督执纪“四种形态”，以严明的纪律推进全面从严治党。全区纪检监察机关充分运用监督执纪“四种形态”共处理208人次。运用第一种形态处理186人次，其中提醒谈话39人次，诫勉谈话46人次，约谈29人次，函询11人次，通报批评53人次，书面检查2人次，批评教育6人次，占“四种形态”处理总人次的89.4%；运用第二种形态处理19人次，其中给予党内警告9人，党内严重警告7人，政务警告1人，调整岗位1人，责令辞职1人，占“四种形态”处理总人次的9.15%；运用第三种形态处理3人次，开除党籍2人，撤销党内职务1人，占“四种形态”处理总人次的1.45%。</w:t>
            </w:r>
          </w:p>
          <w:p>
            <w:pPr>
              <w:spacing w:line="600" w:lineRule="exact"/>
              <w:ind w:firstLine="482" w:firstLineChars="200"/>
              <w:rPr>
                <w:rFonts w:hint="eastAsia" w:ascii="楷体" w:hAnsi="楷体" w:eastAsia="楷体"/>
                <w:sz w:val="24"/>
                <w:szCs w:val="24"/>
              </w:rPr>
            </w:pPr>
            <w:r>
              <w:rPr>
                <w:rFonts w:hint="eastAsia" w:ascii="楷体" w:hAnsi="楷体" w:eastAsia="楷体"/>
                <w:b/>
                <w:color w:val="000000"/>
                <w:kern w:val="0"/>
                <w:sz w:val="24"/>
                <w:szCs w:val="24"/>
                <w:lang w:eastAsia="zh-CN"/>
              </w:rPr>
              <w:t>四是</w:t>
            </w:r>
            <w:r>
              <w:rPr>
                <w:rFonts w:hint="eastAsia" w:ascii="楷体" w:hAnsi="楷体" w:eastAsia="楷体"/>
                <w:b/>
                <w:color w:val="000000"/>
                <w:kern w:val="0"/>
                <w:sz w:val="24"/>
                <w:szCs w:val="24"/>
              </w:rPr>
              <w:t>着重问题整改，实现巡察“全覆盖”。</w:t>
            </w:r>
            <w:r>
              <w:rPr>
                <w:rFonts w:hint="eastAsia" w:ascii="楷体" w:hAnsi="楷体" w:eastAsia="楷体"/>
                <w:sz w:val="24"/>
                <w:szCs w:val="24"/>
              </w:rPr>
              <w:t>三轮巡察共发现问题167个，排查线索40条，党纪立案4个，问责45人。巡察发现的问题基本得到整改，普通性问题得到有效规范。</w:t>
            </w:r>
          </w:p>
          <w:p>
            <w:pPr>
              <w:shd w:val="solid" w:color="FFFFFF" w:fill="auto"/>
              <w:autoSpaceDN w:val="0"/>
              <w:spacing w:line="400" w:lineRule="exact"/>
              <w:ind w:firstLine="641"/>
              <w:rPr>
                <w:rFonts w:ascii="楷体" w:hAnsi="楷体" w:eastAsia="楷体" w:cs="宋体"/>
                <w:color w:val="2B2B2B"/>
                <w:kern w:val="0"/>
                <w:sz w:val="24"/>
                <w:szCs w:val="24"/>
              </w:rPr>
            </w:pPr>
            <w:r>
              <w:rPr>
                <w:rFonts w:hint="eastAsia" w:ascii="楷体" w:hAnsi="楷体" w:eastAsia="楷体" w:cs="宋体"/>
                <w:color w:val="2B2B2B"/>
                <w:kern w:val="0"/>
                <w:sz w:val="24"/>
                <w:szCs w:val="24"/>
              </w:rPr>
              <w:t>四、存在的问题</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一是关于监察全覆盖的问题。今年监察体制改革试点工作推开以后，由于我区是非行政区，没有本级人民代表大会，故没有列入监察体制改革试点范围。我区一直积极请求设立区级监察工作机构，一方面，工作有需要。我区设立有区纪委、区监察局，也按照法律规定设立了区检察院。过去涉及职务违法犯罪案件，区监察局和区检察院依照《中华人民共和国行政监察法》和《中华人民共和国刑事诉讼法》等法律法规依法处理。《中华人民共和国监察法》实施后，区监察局和区检察院反贪污贿赂、反渎职侵权的职能均停止行使，亟需新的监察工作机构来承担。另一方面，机构待整合。目前，我区是唯一还存在监察局和反贪局（渎职侵权侦查局）的地区。这些机构现在无法履行工作职能，亟待整合到新的监察工作机构中来。《中华人民共和国监察法》要求做到“监察全覆盖”。第十二条规定：“各级监察委员会可以向本级中国共产党机关、国家机关、法律法规授权或者委托管理公共事务的组织和单位以及所管辖的行政区域、国有企业等派驻或者派出监察机构、监察专员”。《中华人民共和国监察法》第十二条释义明确：“行政区域主要是指街道、乡镇以及不设置人民代表大会的地区、盟等区域”、“一般来说，地区、盟等地方的监察机构，可以采取派出监察机构的形式”。我们了解：福建省监察委就向福建平潭实验区派驻了监察派出机构。我们请求市监察委向我区派出监察机构。</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二是落实“两个责任”有差距的问题。一些单位班子成员党风廉政建设“一岗双责”履职不到位，认为党风廉政建设是单位“一把手”和纪委书记的事，对分管范围内党风廉政建设工作重视不够。部分基层单位纪检干部监督责任意识不强，有做“老好人”思想，对干部的监督管理存在失之于宽、失之于软的现象。</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2019年，我们将按照上级工作部署，结合我区工作实际，强化工作措施，推动我区纪检监察工作再上新台阶。</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一是进一步加大监督检查力度。继续抓好扶贫领域腐败和作风问题专项治理暨财务清查工作，对突出问题及时整改，对普遍问题有效规范，对群众身边的腐败问题严肃查处。继续抓好节日纠“四风”工作，严防“四风”反弹。继续抓好巡视巡察反馈问题整改工作监督检查。围绕“一三五”思路确定的重点工作开展经常性的监督检查，确保政令畅通，令行禁止。</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二是进一步加大纪律审查工作力度。对检查发现的问题线索，做到有案必查，查案必严，不搞“下不为例”，不搞“法外开恩”。对查处的案件，不搞处分了事，要在一定范围予以通报，真正发挥案件办理的震慑效果。力争在大要案件的查办上取得突破。</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三是进一步加大问责和通报曝光力度。对各项专项整治工作中失职失责的单位负责同志严肃问责，并实行“一案双查”，对突出问题整治不力，监督检查不严格，查处问题不认真、责任追究不到位的，同步追究直接责任和领导责任、主体责任和监督责任。对立案查处的腐败和作风问题一律点名道姓通报曝光。</w:t>
            </w:r>
          </w:p>
          <w:p>
            <w:pPr>
              <w:shd w:val="solid" w:color="FFFFFF" w:fill="auto"/>
              <w:autoSpaceDN w:val="0"/>
              <w:spacing w:line="600" w:lineRule="exact"/>
              <w:ind w:firstLine="640"/>
              <w:rPr>
                <w:rFonts w:hint="eastAsia" w:ascii="楷体" w:hAnsi="楷体" w:eastAsia="楷体"/>
                <w:sz w:val="24"/>
                <w:szCs w:val="24"/>
              </w:rPr>
            </w:pPr>
            <w:r>
              <w:rPr>
                <w:rFonts w:hint="eastAsia" w:ascii="楷体" w:hAnsi="楷体" w:eastAsia="楷体"/>
                <w:sz w:val="24"/>
                <w:szCs w:val="24"/>
              </w:rPr>
              <w:t>四是进一步加大纪检干部培训力度。继续坚持每月“廉政讲堂”活动，坚持上挂下派制度，坚持全员办案好经验，坚持经常性的学习培训，实现“五个过硬”，努力打造一支担当、干净、干事的纪检干部队伍。</w:t>
            </w:r>
          </w:p>
          <w:p>
            <w:pPr>
              <w:widowControl/>
              <w:spacing w:line="400" w:lineRule="exact"/>
              <w:jc w:val="left"/>
              <w:rPr>
                <w:rFonts w:ascii="楷体" w:hAnsi="楷体" w:eastAsia="楷体" w:cs="宋体"/>
                <w:color w:val="2B2B2B"/>
                <w:kern w:val="0"/>
                <w:sz w:val="24"/>
                <w:szCs w:val="24"/>
              </w:rPr>
            </w:pPr>
          </w:p>
        </w:tc>
      </w:tr>
    </w:tbl>
    <w:p>
      <w:pPr>
        <w:spacing w:line="400" w:lineRule="exact"/>
        <w:rPr>
          <w:rFonts w:ascii="楷体" w:hAnsi="楷体" w:eastAsia="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0D1B"/>
    <w:rsid w:val="00057197"/>
    <w:rsid w:val="0010001E"/>
    <w:rsid w:val="00166CAF"/>
    <w:rsid w:val="001D56C2"/>
    <w:rsid w:val="001E057F"/>
    <w:rsid w:val="002D474D"/>
    <w:rsid w:val="0035376A"/>
    <w:rsid w:val="00395D53"/>
    <w:rsid w:val="00516AFF"/>
    <w:rsid w:val="00551C11"/>
    <w:rsid w:val="00596633"/>
    <w:rsid w:val="00625BB7"/>
    <w:rsid w:val="006723D0"/>
    <w:rsid w:val="0070318E"/>
    <w:rsid w:val="00815B6D"/>
    <w:rsid w:val="008853DD"/>
    <w:rsid w:val="00954A39"/>
    <w:rsid w:val="00973A44"/>
    <w:rsid w:val="009B37CD"/>
    <w:rsid w:val="009F536F"/>
    <w:rsid w:val="00AB10A9"/>
    <w:rsid w:val="00B85072"/>
    <w:rsid w:val="00D80A25"/>
    <w:rsid w:val="00DA5325"/>
    <w:rsid w:val="00F4558C"/>
    <w:rsid w:val="00F802DF"/>
    <w:rsid w:val="00FF0D1B"/>
    <w:rsid w:val="01977096"/>
    <w:rsid w:val="03AA0BA6"/>
    <w:rsid w:val="0B700B56"/>
    <w:rsid w:val="35287999"/>
    <w:rsid w:val="3C0F7E44"/>
    <w:rsid w:val="3C8A11FF"/>
    <w:rsid w:val="44233294"/>
    <w:rsid w:val="68D8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991E8-A0AC-4BB5-835B-09A2DB867C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801</Words>
  <Characters>4569</Characters>
  <Lines>38</Lines>
  <Paragraphs>10</Paragraphs>
  <TotalTime>0</TotalTime>
  <ScaleCrop>false</ScaleCrop>
  <LinksUpToDate>false</LinksUpToDate>
  <CharactersWithSpaces>5360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2018-11-12T08:26:00Z</dcterms:created>
  <dc:creator>微软用户</dc:creator>
  <cp:lastModifiedBy>only</cp:lastModifiedBy>
  <cp:lastPrinted>2019-03-19T07:14:00Z</cp:lastPrinted>
  <dcterms:modified xsi:type="dcterms:W3CDTF">2019-12-13T08:47:11Z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