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eastAsia="方正小标宋简体"/>
          <w:kern w:val="0"/>
          <w:sz w:val="42"/>
          <w:szCs w:val="42"/>
        </w:rPr>
      </w:pPr>
      <w:r>
        <w:rPr>
          <w:rFonts w:hint="eastAsia" w:eastAsia="方正小标宋简体"/>
          <w:kern w:val="0"/>
          <w:sz w:val="42"/>
          <w:szCs w:val="42"/>
        </w:rPr>
        <w:t>部门（单位）整体支出预算绩效目标申报表</w:t>
      </w:r>
    </w:p>
    <w:p>
      <w:pPr>
        <w:jc w:val="center"/>
        <w:rPr>
          <w:rFonts w:eastAsia="仿宋_GB2312"/>
          <w:b/>
          <w:bCs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（</w:t>
      </w:r>
      <w:r>
        <w:rPr>
          <w:rFonts w:eastAsia="仿宋_GB2312"/>
          <w:b/>
          <w:bCs/>
          <w:kern w:val="0"/>
          <w:sz w:val="32"/>
          <w:szCs w:val="32"/>
        </w:rPr>
        <w:t>20</w:t>
      </w:r>
      <w:r>
        <w:rPr>
          <w:rFonts w:eastAsia="仿宋_GB2312"/>
          <w:b/>
          <w:bCs/>
          <w:kern w:val="0"/>
          <w:sz w:val="32"/>
          <w:szCs w:val="32"/>
          <w:u w:val="single"/>
        </w:rPr>
        <w:t>21</w:t>
      </w:r>
      <w:r>
        <w:rPr>
          <w:rFonts w:hint="eastAsia" w:eastAsia="仿宋_GB2312"/>
          <w:b/>
          <w:bCs/>
          <w:kern w:val="0"/>
          <w:sz w:val="32"/>
          <w:szCs w:val="32"/>
        </w:rPr>
        <w:t>年度）</w:t>
      </w:r>
    </w:p>
    <w:p>
      <w:pPr>
        <w:rPr>
          <w:rFonts w:eastAsia="仿宋_GB2312"/>
          <w:sz w:val="24"/>
        </w:rPr>
      </w:pPr>
      <w:r>
        <w:rPr>
          <w:rFonts w:hint="eastAsia" w:eastAsia="仿宋_GB2312"/>
          <w:kern w:val="0"/>
          <w:sz w:val="24"/>
        </w:rPr>
        <w:t>填报单位（盖章）：</w:t>
      </w:r>
      <w:r>
        <w:rPr>
          <w:rFonts w:hint="eastAsia" w:eastAsia="仿宋_GB2312"/>
          <w:kern w:val="0"/>
          <w:sz w:val="24"/>
          <w:lang w:eastAsia="zh-CN"/>
        </w:rPr>
        <w:t>中共</w:t>
      </w:r>
      <w:r>
        <w:rPr>
          <w:rFonts w:hint="eastAsia" w:eastAsia="仿宋_GB2312"/>
          <w:kern w:val="0"/>
          <w:sz w:val="24"/>
        </w:rPr>
        <w:t>屈原管理区委政法委员会</w:t>
      </w:r>
      <w:r>
        <w:rPr>
          <w:rFonts w:eastAsia="仿宋_GB2312"/>
          <w:kern w:val="0"/>
          <w:sz w:val="24"/>
        </w:rPr>
        <w:t xml:space="preserve">                           </w:t>
      </w:r>
    </w:p>
    <w:tbl>
      <w:tblPr>
        <w:tblStyle w:val="3"/>
        <w:tblW w:w="979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396"/>
        <w:gridCol w:w="1760"/>
        <w:gridCol w:w="1495"/>
        <w:gridCol w:w="265"/>
        <w:gridCol w:w="1640"/>
        <w:gridCol w:w="620"/>
        <w:gridCol w:w="11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部门基本信息</w:t>
            </w: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预算单位</w:t>
            </w:r>
          </w:p>
        </w:tc>
        <w:tc>
          <w:tcPr>
            <w:tcW w:w="69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屈原管理区委政法委员会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绩效管理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联络员</w:t>
            </w:r>
          </w:p>
        </w:tc>
        <w:tc>
          <w:tcPr>
            <w:tcW w:w="3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韩慧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联系电话</w:t>
            </w:r>
          </w:p>
        </w:tc>
        <w:tc>
          <w:tcPr>
            <w:tcW w:w="1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15673010462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人员编制数</w:t>
            </w:r>
          </w:p>
        </w:tc>
        <w:tc>
          <w:tcPr>
            <w:tcW w:w="3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实有人数</w:t>
            </w:r>
          </w:p>
        </w:tc>
        <w:tc>
          <w:tcPr>
            <w:tcW w:w="1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部门职能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职责概述</w:t>
            </w:r>
          </w:p>
        </w:tc>
        <w:tc>
          <w:tcPr>
            <w:tcW w:w="69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both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根据党的路线、方针、政策和省委、市委的部署，统一政法部门的思想和行动，对一定时期内全区政法工作作出部署，并督促贯彻落实;组织、协调、指导维护社会稳定的工作,必要时直接参与影响稳定的重大群体性事件的处置；检查政法部门执行党的方针政策和法律法规的情况，结合实际研究制订落实党的方针政策、严格执法的具体措施；支持和监督政法各部门依法行使职权，指导和协调政法各部门在依法相互制约的同时密切配合，督促、推动大案要案的查处工作，研究、协调有争议的重大、疑难案件的查处；组织、协调社会治安综合治理工作，推动社会治安综合治理各项措施贯彻落实；研究分析涉及政法工作的舆论情况和影响社会稳定的舆情信息，组织、推动政法战线的调查研究工作，改革和加强政法工作，指导、协调政法综治维稳宣传和舆论引导工作;研究加强政法队伍建设和领导班子建设的措施，协助组织部门考察管理政法部门的领导干部；协助纪检、监察部门查处政法系统干警违法违纪案件；承办区委、区管委和市委政法委员会交办的其它事项。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30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单位年度收入预算（万元）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收入合计</w:t>
            </w:r>
          </w:p>
        </w:tc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公共财政拨款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政府性基金拨款</w:t>
            </w: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非税收入拨款</w:t>
            </w:r>
          </w:p>
        </w:tc>
        <w:tc>
          <w:tcPr>
            <w:tcW w:w="1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其他拨款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235.70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150.9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84.8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30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支出合计</w:t>
            </w:r>
          </w:p>
        </w:tc>
        <w:tc>
          <w:tcPr>
            <w:tcW w:w="3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基本支出</w:t>
            </w:r>
          </w:p>
        </w:tc>
        <w:tc>
          <w:tcPr>
            <w:tcW w:w="3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235.7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182.82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52.88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其中</w:t>
            </w:r>
          </w:p>
        </w:tc>
        <w:tc>
          <w:tcPr>
            <w:tcW w:w="69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三公经费预算（万元）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合计</w:t>
            </w:r>
          </w:p>
        </w:tc>
        <w:tc>
          <w:tcPr>
            <w:tcW w:w="3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公务用车运行和购置费</w:t>
            </w:r>
          </w:p>
        </w:tc>
        <w:tc>
          <w:tcPr>
            <w:tcW w:w="2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因公出国（境）费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公务接待费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3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年度绩效目标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部门整体支出</w:t>
            </w:r>
          </w:p>
        </w:tc>
        <w:tc>
          <w:tcPr>
            <w:tcW w:w="830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防范和处理邪教教育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次重大活动维稳、其他特护期的维稳，处理区内医患纠纷，打击和重点整治3次，开展公路护路联防2次，开展预防和处置交通火灾宣传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次，开展禁毒、预防青少年犯罪、打击制假贩假、见义勇为宣传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次，弘扬社会正能量，安置帮教刑满释放人员及社区矫正人员，开展学校周边安全宣传2次，流动人口管理，开展禁赌行动2次，处理矛盾及纠纷的查调处3次，开展治安防控巡查2次。开展普法宣传2次，开展国家安全及人民防线宣传2次，反恐宣传2次、督查1次。创建平安家庭1000个，平安乡镇1个，平安单位1个、四无村社区2个。民调争创省市前列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年度绩效指标部门整体支出</w:t>
            </w: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二级指标</w:t>
            </w: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三级指标</w:t>
            </w:r>
          </w:p>
        </w:tc>
        <w:tc>
          <w:tcPr>
            <w:tcW w:w="1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产出指标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（预期提供的公共产品或服务，包括数量、质量、时效、成本等）</w:t>
            </w:r>
          </w:p>
        </w:tc>
        <w:tc>
          <w:tcPr>
            <w:tcW w:w="17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数量指标</w:t>
            </w: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防范和处理邪教教育宣传活动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</w:rPr>
              <w:t>2.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维稳工作开展重大活动</w:t>
            </w:r>
          </w:p>
        </w:tc>
        <w:tc>
          <w:tcPr>
            <w:tcW w:w="1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3.打击和重点整治违法犯罪活动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4.开展公路护路联防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5.开展预防和处理交通火灾宣传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6.禁毒、预防青少年犯罪、打击制假贩假、见义勇为宣传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7.开展学校周边安全宣传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8.开展禁赌行动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9.处理矛盾及纠纷查调处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10.开展治安防控巡查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11.开展普法宣传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12.开展国家安全及人民防线宣传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13.开展反恐宣传，并进行督查</w:t>
            </w:r>
          </w:p>
        </w:tc>
        <w:tc>
          <w:tcPr>
            <w:tcW w:w="1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质量指标</w:t>
            </w: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tabs>
                <w:tab w:val="clear" w:pos="312"/>
              </w:tabs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有效提升综合治理水平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严格落实信访维稳责任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维护社会稳定，确保区域长治久安</w:t>
            </w:r>
          </w:p>
        </w:tc>
        <w:tc>
          <w:tcPr>
            <w:tcW w:w="1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持续加强风险防控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深入推进改革，促进政法事业发展</w:t>
            </w:r>
          </w:p>
        </w:tc>
        <w:tc>
          <w:tcPr>
            <w:tcW w:w="1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加强法律宣传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开展法律援助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加大矛盾纠纷调处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严厉打击违法犯罪</w:t>
            </w:r>
          </w:p>
        </w:tc>
        <w:tc>
          <w:tcPr>
            <w:tcW w:w="1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打造一流队伍，强化争先创优意识</w:t>
            </w:r>
          </w:p>
        </w:tc>
        <w:tc>
          <w:tcPr>
            <w:tcW w:w="1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落实禁毒各项任务</w:t>
            </w:r>
          </w:p>
        </w:tc>
        <w:tc>
          <w:tcPr>
            <w:tcW w:w="1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提升群众安全感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打造社会治理现代化</w:t>
            </w:r>
          </w:p>
        </w:tc>
        <w:tc>
          <w:tcPr>
            <w:tcW w:w="1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时效指标</w:t>
            </w: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整体预算项目完成时间</w:t>
            </w:r>
          </w:p>
        </w:tc>
        <w:tc>
          <w:tcPr>
            <w:tcW w:w="1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2021年12月底前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成本指标</w:t>
            </w: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成本费用金额</w:t>
            </w:r>
          </w:p>
        </w:tc>
        <w:tc>
          <w:tcPr>
            <w:tcW w:w="1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52.88万元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二级指标</w:t>
            </w: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三级指标</w:t>
            </w:r>
          </w:p>
        </w:tc>
        <w:tc>
          <w:tcPr>
            <w:tcW w:w="1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效益指标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（预期可能实现的效益，包括经济效益、社会效益、环境效益、可持续影响以及服务对象满意度等）</w:t>
            </w:r>
          </w:p>
        </w:tc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经济效益</w:t>
            </w: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维护我区经济稳步发展</w:t>
            </w:r>
          </w:p>
        </w:tc>
        <w:tc>
          <w:tcPr>
            <w:tcW w:w="1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社会效益</w:t>
            </w: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维护社会稳定，提升群众安全感、满足感</w:t>
            </w:r>
          </w:p>
        </w:tc>
        <w:tc>
          <w:tcPr>
            <w:tcW w:w="1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环境效益</w:t>
            </w: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促进我区社会稳定区域长治久安</w:t>
            </w:r>
          </w:p>
        </w:tc>
        <w:tc>
          <w:tcPr>
            <w:tcW w:w="1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100%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可持续影响</w:t>
            </w: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维护社会稳定，确保区域长治久安</w:t>
            </w:r>
          </w:p>
        </w:tc>
        <w:tc>
          <w:tcPr>
            <w:tcW w:w="1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长期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kern w:val="0"/>
                <w:sz w:val="24"/>
              </w:rPr>
              <w:t>服务对象满意度</w:t>
            </w: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确保我区社会经济稳步发展，提升群众满意度</w:t>
            </w:r>
          </w:p>
        </w:tc>
        <w:tc>
          <w:tcPr>
            <w:tcW w:w="1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问题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其他说明的</w:t>
            </w:r>
          </w:p>
        </w:tc>
        <w:tc>
          <w:tcPr>
            <w:tcW w:w="830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以上项目为我单位常规性项目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审核意见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</w:rPr>
              <w:t>财政部门</w:t>
            </w:r>
          </w:p>
        </w:tc>
        <w:tc>
          <w:tcPr>
            <w:tcW w:w="830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（盖章）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</w:p>
        </w:tc>
      </w:tr>
    </w:tbl>
    <w:p>
      <w:pPr>
        <w:rPr>
          <w:rFonts w:eastAsia="仿宋_GB2312"/>
          <w:kern w:val="0"/>
          <w:sz w:val="24"/>
        </w:rPr>
      </w:pPr>
    </w:p>
    <w:p>
      <w:r>
        <w:rPr>
          <w:rFonts w:eastAsia="仿宋_GB2312"/>
          <w:kern w:val="0"/>
          <w:sz w:val="24"/>
        </w:rPr>
        <w:t xml:space="preserve"> </w:t>
      </w:r>
      <w:r>
        <w:rPr>
          <w:rFonts w:hint="eastAsia" w:eastAsia="仿宋_GB2312"/>
          <w:kern w:val="0"/>
          <w:sz w:val="24"/>
        </w:rPr>
        <w:t>单位负责人：</w:t>
      </w:r>
      <w:r>
        <w:rPr>
          <w:rFonts w:eastAsia="仿宋_GB2312"/>
          <w:kern w:val="0"/>
          <w:sz w:val="24"/>
        </w:rPr>
        <w:t xml:space="preserve">          </w:t>
      </w:r>
      <w:r>
        <w:rPr>
          <w:rFonts w:hint="eastAsia" w:eastAsia="仿宋_GB2312"/>
          <w:kern w:val="0"/>
          <w:sz w:val="24"/>
        </w:rPr>
        <w:t>填表人：</w:t>
      </w:r>
      <w:r>
        <w:rPr>
          <w:rFonts w:eastAsia="仿宋_GB2312"/>
          <w:kern w:val="0"/>
          <w:sz w:val="24"/>
        </w:rPr>
        <w:t xml:space="preserve">            </w:t>
      </w:r>
      <w:r>
        <w:rPr>
          <w:rFonts w:hint="eastAsia" w:eastAsia="仿宋_GB2312"/>
          <w:kern w:val="0"/>
          <w:sz w:val="24"/>
        </w:rPr>
        <w:t>填表时间：</w:t>
      </w:r>
      <w:r>
        <w:rPr>
          <w:rFonts w:hint="eastAsia" w:eastAsia="仿宋_GB2312"/>
          <w:kern w:val="0"/>
          <w:sz w:val="24"/>
          <w:lang w:val="en-US" w:eastAsia="zh-CN"/>
        </w:rPr>
        <w:t>2021年3月8日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156AC"/>
    <w:multiLevelType w:val="singleLevel"/>
    <w:tmpl w:val="5FE156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E169E8"/>
    <w:multiLevelType w:val="singleLevel"/>
    <w:tmpl w:val="5FE169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A1964"/>
    <w:rsid w:val="03BB7614"/>
    <w:rsid w:val="06C4186A"/>
    <w:rsid w:val="115656EB"/>
    <w:rsid w:val="1835364B"/>
    <w:rsid w:val="1B3F44AE"/>
    <w:rsid w:val="237C73D3"/>
    <w:rsid w:val="3D233059"/>
    <w:rsid w:val="3E1329D7"/>
    <w:rsid w:val="3EA93F92"/>
    <w:rsid w:val="44413F45"/>
    <w:rsid w:val="53490303"/>
    <w:rsid w:val="53CB7B54"/>
    <w:rsid w:val="56440241"/>
    <w:rsid w:val="57791EA9"/>
    <w:rsid w:val="5F002C7B"/>
    <w:rsid w:val="63E07A52"/>
    <w:rsid w:val="6C9007E9"/>
    <w:rsid w:val="7079005A"/>
    <w:rsid w:val="725C105C"/>
    <w:rsid w:val="7C5A4173"/>
    <w:rsid w:val="7FBD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佳慧</cp:lastModifiedBy>
  <dcterms:modified xsi:type="dcterms:W3CDTF">2021-04-06T06:19:37Z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