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 xml:space="preserve">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燃油税改革转移支付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交通局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李羽翔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15074059666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宋曙光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18673045398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215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215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交通局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215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《专项资金管理办法》《固定资产管理办法》《质量安全生产管理办法》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、燃油税改革转移支付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燃油税改革转移支付包括农村公路建设和农村公路养护，其中农村公路养护的主要内容是整理路肩、边坡、清除杂物，保护路容整洁，疏通排水沟，保持排水畅通；修理圬工构造物的变形，填补路基小型缺口；清除路面泥土杂物，处理沥青路面拥包裂缝，进行路面调查，确保安全畅通，保证居民顺利出行。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燃油税改革转移支付包括农村公路建设和农村公路养护，其中农村公路养护的主要内容是整理路肩、边坡、清除杂物，保护路容整洁，疏通排水沟，保持排水畅通；修理圬工构造物的变形，填补路基小型缺口；清除路面泥土杂物，处理沥青路面拥包裂缝，进行路面调查，确保安全畅通，保证居民顺利出行。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清理路基，保持路容整洁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进行局部修理，行道树冬季刷白。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维修交通工程及沿线设施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≥95公里 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≥10000根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3、≥80公里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严格保证质量合格（验收合格率）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大中修、小修保养全面完工时间。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2021年12月31日底前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整理路基劳务费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整理路基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维修费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整理路基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其它材料费。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100万元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给当地产生经济效益，增加人均收入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为居民营造良好的生活环境，提高居民的交通意识率。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公路两旁绿化率，农村环境效益率。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创造了良好的交通环境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居民满意度率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</w:t>
      </w:r>
      <w:r>
        <w:rPr>
          <w:rFonts w:hint="eastAsia" w:eastAsia="仿宋_GB2312"/>
          <w:kern w:val="0"/>
          <w:sz w:val="24"/>
          <w:lang w:eastAsia="zh-CN"/>
        </w:rPr>
        <w:t>李羽翔</w:t>
      </w:r>
      <w:r>
        <w:rPr>
          <w:rFonts w:hint="eastAsia" w:eastAsia="仿宋_GB2312"/>
          <w:kern w:val="0"/>
          <w:sz w:val="24"/>
        </w:rPr>
        <w:t xml:space="preserve">     填表人：</w:t>
      </w:r>
      <w:r>
        <w:rPr>
          <w:rFonts w:hint="eastAsia" w:eastAsia="仿宋_GB2312"/>
          <w:kern w:val="0"/>
          <w:sz w:val="24"/>
          <w:lang w:eastAsia="zh-CN"/>
        </w:rPr>
        <w:t>宋曙光</w:t>
      </w:r>
      <w:r>
        <w:rPr>
          <w:rFonts w:hint="eastAsia" w:eastAsia="仿宋_GB2312"/>
          <w:kern w:val="0"/>
          <w:sz w:val="24"/>
        </w:rPr>
        <w:t xml:space="preserve">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2021.01.07</w:t>
      </w:r>
      <w:r>
        <w:rPr>
          <w:rFonts w:eastAsia="黑体"/>
          <w:bCs/>
          <w:kern w:val="0"/>
          <w:sz w:val="32"/>
          <w:szCs w:val="32"/>
        </w:rPr>
        <w:br w:type="page"/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A58D"/>
    <w:multiLevelType w:val="singleLevel"/>
    <w:tmpl w:val="8784A5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B9631E"/>
    <w:multiLevelType w:val="singleLevel"/>
    <w:tmpl w:val="9CB96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6BC13D6"/>
    <w:rsid w:val="0AD85E3B"/>
    <w:rsid w:val="1386625C"/>
    <w:rsid w:val="14DD49DD"/>
    <w:rsid w:val="174B6B11"/>
    <w:rsid w:val="1AE77A22"/>
    <w:rsid w:val="1D5E0DEB"/>
    <w:rsid w:val="1D665844"/>
    <w:rsid w:val="1D8442DE"/>
    <w:rsid w:val="28331C57"/>
    <w:rsid w:val="29134AD2"/>
    <w:rsid w:val="2E6C7E1F"/>
    <w:rsid w:val="31620D96"/>
    <w:rsid w:val="33E85631"/>
    <w:rsid w:val="36E81757"/>
    <w:rsid w:val="37337688"/>
    <w:rsid w:val="3DF83DA3"/>
    <w:rsid w:val="4094317A"/>
    <w:rsid w:val="466F5492"/>
    <w:rsid w:val="4D1B4BF2"/>
    <w:rsid w:val="4F4F7C11"/>
    <w:rsid w:val="50ED644E"/>
    <w:rsid w:val="53590DDA"/>
    <w:rsid w:val="561F1E70"/>
    <w:rsid w:val="56B74AEF"/>
    <w:rsid w:val="64F71A1D"/>
    <w:rsid w:val="67482C5D"/>
    <w:rsid w:val="6F280C1E"/>
    <w:rsid w:val="70660064"/>
    <w:rsid w:val="71A017BC"/>
    <w:rsid w:val="71EA5AB5"/>
    <w:rsid w:val="747F2D10"/>
    <w:rsid w:val="75C37F49"/>
    <w:rsid w:val="7B92002C"/>
    <w:rsid w:val="7C535EC1"/>
    <w:rsid w:val="7D867AA3"/>
    <w:rsid w:val="7DE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Administrator</cp:lastModifiedBy>
  <cp:lastPrinted>2021-01-06T02:18:00Z</cp:lastPrinted>
  <dcterms:modified xsi:type="dcterms:W3CDTF">2021-04-06T06:21:24Z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D955F0B224444133BDF42E85209E3E22</vt:lpwstr>
  </property>
</Properties>
</file>