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eastAsia="黑体" w:hint="eastAsia"/>
          <w:kern w:val="0"/>
          <w:sz w:val="32"/>
          <w:szCs w:val="32"/>
        </w:rPr>
      </w:pPr>
      <w:r>
        <w:rPr>
          <w:rFonts w:eastAsia="黑体"/>
          <w:kern w:val="0"/>
          <w:sz w:val="32"/>
          <w:szCs w:val="32"/>
        </w:rPr>
        <w:t>表二十九</w:t>
      </w:r>
    </w:p>
    <w:p>
      <w:pPr>
        <w:spacing w:before="156"/>
        <w:jc w:val="center"/>
        <w:rPr>
          <w:rFonts w:eastAsia="方正小标宋简体"/>
          <w:kern w:val="0"/>
          <w:sz w:val="42"/>
          <w:szCs w:val="42"/>
        </w:rPr>
      </w:pPr>
      <w:r>
        <w:rPr>
          <w:rFonts w:eastAsia="方正小标宋简体"/>
          <w:kern w:val="0"/>
          <w:sz w:val="42"/>
          <w:szCs w:val="42"/>
        </w:rPr>
        <w:t>部门（单位）整体支出预算绩效目标申报表</w:t>
      </w:r>
      <w:bookmarkStart w:id="0" w:name="_GoBack"/>
      <w:bookmarkEnd w:id="0"/>
    </w:p>
    <w:p>
      <w:pPr>
        <w:jc w:val="center"/>
        <w:rPr>
          <w:rFonts w:eastAsia="仿宋_GB2312"/>
          <w:b/>
          <w:bCs/>
          <w:kern w:val="0"/>
          <w:sz w:val="32"/>
          <w:szCs w:val="32"/>
        </w:rPr>
      </w:pPr>
      <w:r>
        <w:rPr>
          <w:rFonts w:eastAsia="仿宋_GB2312"/>
          <w:b/>
          <w:bCs/>
          <w:kern w:val="0"/>
          <w:sz w:val="32"/>
          <w:szCs w:val="32"/>
        </w:rPr>
        <w:t>（20</w:t>
      </w:r>
      <w:r>
        <w:rPr>
          <w:rFonts w:eastAsia="仿宋_GB2312"/>
          <w:b/>
          <w:bCs/>
          <w:kern w:val="0"/>
          <w:sz w:val="32"/>
          <w:szCs w:val="32"/>
          <w:u w:val="single"/>
        </w:rPr>
        <w:t>21</w:t>
      </w:r>
      <w:r>
        <w:rPr>
          <w:rFonts w:eastAsia="仿宋_GB2312"/>
          <w:b/>
          <w:bCs/>
          <w:kern w:val="0"/>
          <w:sz w:val="32"/>
          <w:szCs w:val="32"/>
        </w:rPr>
        <w:t>年度）</w:t>
      </w:r>
    </w:p>
    <w:p>
      <w:pPr>
        <w:rPr>
          <w:rFonts w:eastAsia="仿宋_GB2312"/>
          <w:sz w:val="24"/>
        </w:rPr>
      </w:pPr>
      <w:r>
        <w:rPr>
          <w:rFonts w:eastAsia="仿宋_GB2312"/>
          <w:kern w:val="0"/>
          <w:sz w:val="24"/>
        </w:rPr>
        <w:t xml:space="preserve">填报单位（盖章）：                           </w:t>
      </w:r>
    </w:p>
    <w:tbl>
      <w:tblPr>
        <w:jc w:val="center"/>
        <w:tblW w:w="9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484"/>
        <w:gridCol w:w="1395"/>
        <w:gridCol w:w="1760"/>
        <w:gridCol w:w="1495"/>
        <w:gridCol w:w="265"/>
        <w:gridCol w:w="1640"/>
        <w:gridCol w:w="620"/>
        <w:gridCol w:w="1132"/>
      </w:tblGrid>
      <w:tr>
        <w:trPr>
          <w:trHeight w:val="605"/>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auto"/>
            <w:noWrap/>
            <w:textDirection w:val="tbRl"/>
            <w:vAlign w:val="center"/>
          </w:tcPr>
          <w:p>
            <w:pPr>
              <w:widowControl/>
              <w:jc w:val="center"/>
              <w:rPr>
                <w:rFonts w:eastAsia="仿宋_GB2312"/>
                <w:kern w:val="0"/>
                <w:sz w:val="24"/>
              </w:rPr>
            </w:pPr>
            <w:r>
              <w:rPr>
                <w:rFonts w:eastAsia="仿宋_GB2312"/>
                <w:kern w:val="0"/>
                <w:sz w:val="24"/>
              </w:rPr>
              <w:t>部门基本信息</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预算单位</w:t>
            </w:r>
          </w:p>
        </w:tc>
        <w:tc>
          <w:tcPr>
            <w:tcW w:w="6912" w:type="dxa"/>
            <w:gridSpan w:val="6"/>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区管委办公室　</w:t>
            </w:r>
          </w:p>
        </w:tc>
      </w:tr>
      <w:tr>
        <w:trPr>
          <w:trHeight w:val="768"/>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绩效管理</w:t>
              <w:br/>
              <w:t>联络员</w:t>
            </w:r>
          </w:p>
        </w:tc>
        <w:tc>
          <w:tcPr>
            <w:tcW w:w="35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易可　</w:t>
            </w:r>
          </w:p>
        </w:tc>
        <w:tc>
          <w:tcPr>
            <w:tcW w:w="164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联系电话</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5720164　</w:t>
            </w:r>
          </w:p>
        </w:tc>
      </w:tr>
      <w:tr>
        <w:trPr>
          <w:trHeight w:val="707"/>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spacing w:val="-10"/>
                <w:kern w:val="0"/>
                <w:sz w:val="24"/>
              </w:rPr>
              <w:t>人员编制数</w:t>
            </w:r>
          </w:p>
        </w:tc>
        <w:tc>
          <w:tcPr>
            <w:tcW w:w="35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14　</w:t>
            </w:r>
          </w:p>
        </w:tc>
        <w:tc>
          <w:tcPr>
            <w:tcW w:w="164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实有人数</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15　</w:t>
            </w:r>
          </w:p>
        </w:tc>
      </w:tr>
      <w:tr>
        <w:trPr>
          <w:trHeight w:val="996"/>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部门职能</w:t>
              <w:br/>
              <w:t>职责概述</w:t>
            </w:r>
          </w:p>
        </w:tc>
        <w:tc>
          <w:tcPr>
            <w:tcW w:w="6912" w:type="dxa"/>
            <w:gridSpan w:val="6"/>
            <w:tcBorders>
              <w:top w:val="single" w:sz="6" w:space="0" w:color="000000"/>
              <w:left w:val="single" w:sz="6" w:space="0" w:color="000000"/>
              <w:bottom w:val="single" w:sz="6" w:space="0" w:color="000000"/>
              <w:right w:val="single" w:sz="6" w:space="0" w:color="000000"/>
            </w:tcBorders>
            <w:shd w:val="clear" w:color="auto" w:fill="auto"/>
            <w:noWrap/>
            <w:vAlign w:val="center"/>
          </w:tcPr>
          <w:p>
            <w:pPr>
              <w:spacing w:line="400" w:lineRule="exact"/>
              <w:textAlignment w:val="center"/>
            </w:pPr>
            <w:r>
              <w:rPr>
                <w:rFonts w:ascii="仿宋_GB2312" w:eastAsia="仿宋_GB2312" w:cs="仿宋_GB2312"/>
                <w:color w:val="000000"/>
                <w:sz w:val="24"/>
              </w:rPr>
              <w:t>（一）协助区管委领导组织起草或审核以区管委、区管委办公室名义发布的公文。</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（二）受理并研究区管委各部门和各单位请示区管委的事项，提出审核意见；对区管委部门间的分歧事项提出处理意见，报告区管委领导决定。</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（三）负责区管委会议的筹备工作，协助区管委领导同志组织实施会议决定事项。</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四）督促检查区管委各部门和各单位部门对区管委公文、区管委决定事项及区管委领导有关指示的贯彻落实情况，及时向区管委领导报告；负责组织对区管委系统年度工作目标的制定、进度督查和年度绩效评估工作。</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（五）负责区管委值班室工作，及时报告重要情况，传达和督促落实区管委领导指示；协助区管委领导组织处理突发事件的应急处置工作。</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（六）指导、监督全区人民政府信息公开工作；负责全区系统办公自动化建设和有关电子政务工作的规划管理及业务指导。</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（七）组织办理和答复人大代表建议和政协委员提案。</w:t>
            </w:r>
          </w:p>
          <w:p>
            <w:pPr>
              <w:spacing w:line="400" w:lineRule="exact"/>
              <w:textAlignment w:val="center"/>
              <w:rPr>
                <w:rFonts w:ascii="仿宋_GB2312" w:eastAsia="仿宋_GB2312" w:cs="仿宋_GB2312"/>
                <w:color w:val="000000"/>
                <w:sz w:val="24"/>
              </w:rPr>
            </w:pPr>
            <w:r>
              <w:rPr>
                <w:rFonts w:ascii="仿宋_GB2312" w:eastAsia="仿宋_GB2312" w:cs="仿宋_GB2312"/>
                <w:color w:val="000000"/>
                <w:sz w:val="24"/>
              </w:rPr>
              <w:t>（八）负责宣传贯彻执行党和国家关于民族宗教工作的法律法规和政策，依法履行民族宗教事务管理职责，保护公民宗教信仰自由和正常的宗教活动，维护少数民族和宗教界的合法权益；负责全区民间信仰活动场所登记管理工作；行使宗教行政执法职能；指导各单位部门民族宗教事务管理部门依法履行管理职能。</w:t>
            </w:r>
          </w:p>
          <w:p>
            <w:pPr>
              <w:spacing w:line="400" w:lineRule="exact"/>
              <w:textAlignment w:val="center"/>
            </w:pPr>
            <w:r>
              <w:rPr>
                <w:rFonts w:ascii="仿宋_GB2312" w:eastAsia="仿宋_GB2312" w:cs="仿宋_GB2312"/>
                <w:color w:val="000000"/>
                <w:sz w:val="24"/>
              </w:rPr>
              <w:t>（九）负责区机关行政事务和安全保卫工作。</w:t>
            </w:r>
          </w:p>
          <w:p>
            <w:pPr>
              <w:spacing w:line="400" w:lineRule="exact"/>
              <w:textAlignment w:val="center"/>
            </w:pPr>
            <w:r>
              <w:rPr>
                <w:rFonts w:ascii="仿宋_GB2312" w:eastAsia="仿宋_GB2312" w:cs="仿宋_GB2312"/>
                <w:color w:val="000000"/>
                <w:sz w:val="24"/>
              </w:rPr>
              <w:t>（十）承办区委、区管委交办的其他事项。</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8307" w:type="dxa"/>
            <w:gridSpan w:val="7"/>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单位年度收入预算（万元）</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收入合计</w:t>
            </w: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公共财政拨款</w:t>
            </w:r>
          </w:p>
        </w:tc>
        <w:tc>
          <w:tcPr>
            <w:tcW w:w="14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政府性基金拨款</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非税收入拨款</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其他拨款</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　704.08</w:t>
            </w: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eastAsia="仿宋_GB2312"/>
                <w:kern w:val="0"/>
                <w:sz w:val="24"/>
              </w:rPr>
              <w:t>　704.08</w:t>
            </w:r>
          </w:p>
        </w:tc>
        <w:tc>
          <w:tcPr>
            <w:tcW w:w="14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eastAsia="仿宋_GB2312"/>
                <w:kern w:val="0"/>
                <w:sz w:val="24"/>
              </w:rPr>
              <w:t>　</w:t>
            </w:r>
          </w:p>
        </w:tc>
        <w:tc>
          <w:tcPr>
            <w:tcW w:w="1905"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　</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　</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8307" w:type="dxa"/>
            <w:gridSpan w:val="7"/>
            <w:tcBorders>
              <w:top w:val="single" w:sz="6" w:space="0" w:color="000000"/>
              <w:left w:val="single" w:sz="6" w:space="0" w:color="000000"/>
              <w:bottom w:val="single" w:sz="6" w:space="0" w:color="000000"/>
              <w:right w:val="single" w:sz="6" w:space="0" w:color="000000"/>
            </w:tcBorders>
            <w:shd w:val="clear" w:color="auto" w:fill="auto"/>
            <w:noWrap/>
            <w:vAlign w:val="center"/>
          </w:tcPr>
          <w:p>
            <w:pPr>
              <w:jc w:val="center"/>
              <w:rPr>
                <w:rFonts w:ascii="仿宋_GB2312" w:eastAsia="仿宋_GB2312" w:cs="宋体"/>
                <w:sz w:val="24"/>
              </w:rPr>
            </w:pP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支出合计</w:t>
            </w:r>
          </w:p>
        </w:tc>
        <w:tc>
          <w:tcPr>
            <w:tcW w:w="35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基本支出</w:t>
            </w:r>
          </w:p>
        </w:tc>
        <w:tc>
          <w:tcPr>
            <w:tcW w:w="3392"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项目支出</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　704.08</w:t>
            </w:r>
          </w:p>
        </w:tc>
        <w:tc>
          <w:tcPr>
            <w:tcW w:w="35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684.84　</w:t>
            </w:r>
          </w:p>
        </w:tc>
        <w:tc>
          <w:tcPr>
            <w:tcW w:w="3392"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19.24　</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其中</w:t>
            </w:r>
          </w:p>
        </w:tc>
        <w:tc>
          <w:tcPr>
            <w:tcW w:w="6912" w:type="dxa"/>
            <w:gridSpan w:val="6"/>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三公经费预算（万元）</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合计</w:t>
            </w:r>
          </w:p>
        </w:tc>
        <w:tc>
          <w:tcPr>
            <w:tcW w:w="35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公务用车运行和购置费</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因公出国（境）费</w:t>
            </w:r>
          </w:p>
        </w:tc>
        <w:tc>
          <w:tcPr>
            <w:tcW w:w="113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公务接待费</w:t>
            </w:r>
          </w:p>
        </w:tc>
      </w:tr>
      <w:tr>
        <w:trPr>
          <w:trHeight w:val="4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　</w:t>
            </w:r>
            <w:r>
              <w:rPr>
                <w:rFonts w:eastAsia="仿宋_GB2312" w:hint="eastAsia"/>
                <w:kern w:val="0"/>
                <w:sz w:val="24"/>
              </w:rPr>
              <w:t>0.49</w:t>
            </w:r>
          </w:p>
        </w:tc>
        <w:tc>
          <w:tcPr>
            <w:tcW w:w="352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0　</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　0</w:t>
            </w:r>
          </w:p>
        </w:tc>
        <w:tc>
          <w:tcPr>
            <w:tcW w:w="113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hint="eastAsia"/>
                <w:kern w:val="0"/>
                <w:sz w:val="24"/>
              </w:rPr>
              <w:t>0.49</w:t>
            </w:r>
            <w:r>
              <w:rPr>
                <w:rFonts w:eastAsia="仿宋_GB2312"/>
                <w:kern w:val="0"/>
                <w:sz w:val="24"/>
              </w:rPr>
              <w:t>　</w:t>
            </w:r>
          </w:p>
        </w:tc>
      </w:tr>
      <w:tr>
        <w:trPr>
          <w:trHeight w:val="2144"/>
        </w:trPr>
        <w:tc>
          <w:tcPr>
            <w:tcW w:w="1484" w:type="dxa"/>
            <w:tcBorders>
              <w:top w:val="single" w:sz="6" w:space="0" w:color="000000"/>
              <w:left w:val="single" w:sz="6" w:space="0" w:color="000000"/>
              <w:bottom w:val="single" w:sz="6" w:space="0" w:color="000000"/>
              <w:right w:val="single" w:sz="6" w:space="0" w:color="000000"/>
            </w:tcBorders>
            <w:shd w:val="clear" w:color="auto" w:fill="auto"/>
            <w:noWrap/>
            <w:textDirection w:val="tbRl"/>
            <w:vAlign w:val="center"/>
          </w:tcPr>
          <w:p>
            <w:pPr>
              <w:widowControl/>
              <w:spacing w:line="320" w:lineRule="exact"/>
              <w:jc w:val="center"/>
              <w:rPr>
                <w:rFonts w:eastAsia="仿宋_GB2312"/>
                <w:kern w:val="0"/>
                <w:sz w:val="24"/>
              </w:rPr>
            </w:pPr>
            <w:r>
              <w:rPr>
                <w:rFonts w:eastAsia="仿宋_GB2312"/>
                <w:kern w:val="0"/>
                <w:sz w:val="24"/>
              </w:rPr>
              <w:t>年度绩效目标</w:t>
              <w:br/>
              <w:t>部门整体支出</w:t>
            </w:r>
          </w:p>
        </w:tc>
        <w:tc>
          <w:tcPr>
            <w:tcW w:w="8307" w:type="dxa"/>
            <w:gridSpan w:val="7"/>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eastAsia="仿宋_GB2312"/>
                <w:kern w:val="0"/>
                <w:sz w:val="24"/>
              </w:rPr>
              <w:br/>
              <w:t>1、</w:t>
            </w:r>
            <w:r>
              <w:rPr>
                <w:rFonts w:ascii="仿宋_GB2312" w:eastAsia="仿宋_GB2312" w:cs="仿宋_GB2312"/>
                <w:color w:val="000000"/>
                <w:sz w:val="24"/>
              </w:rPr>
              <w:t>综合调研工作成绩突出;</w:t>
            </w:r>
          </w:p>
          <w:p>
            <w:pPr>
              <w:widowControl/>
              <w:jc w:val="left"/>
            </w:pPr>
            <w:r>
              <w:rPr>
                <w:rFonts w:ascii="仿宋_GB2312" w:eastAsia="仿宋_GB2312" w:cs="仿宋_GB2312"/>
                <w:color w:val="000000"/>
                <w:sz w:val="24"/>
              </w:rPr>
              <w:t>2、督办督查重点突出;</w:t>
            </w:r>
          </w:p>
          <w:p>
            <w:pPr>
              <w:widowControl/>
              <w:jc w:val="left"/>
            </w:pPr>
            <w:r>
              <w:rPr>
                <w:rFonts w:ascii="仿宋_GB2312" w:eastAsia="仿宋_GB2312" w:cs="仿宋_GB2312"/>
                <w:color w:val="000000"/>
                <w:sz w:val="24"/>
              </w:rPr>
              <w:t>3、综合协调务实高效;</w:t>
            </w:r>
          </w:p>
          <w:p>
            <w:pPr>
              <w:widowControl/>
              <w:jc w:val="left"/>
            </w:pPr>
            <w:r>
              <w:rPr>
                <w:rFonts w:ascii="仿宋_GB2312" w:eastAsia="仿宋_GB2312" w:cs="仿宋_GB2312"/>
                <w:color w:val="000000"/>
                <w:sz w:val="24"/>
              </w:rPr>
              <w:t>4、精简文件会议;</w:t>
            </w:r>
          </w:p>
          <w:p>
            <w:pPr>
              <w:widowControl/>
              <w:jc w:val="left"/>
            </w:pPr>
            <w:r>
              <w:rPr>
                <w:rFonts w:ascii="仿宋_GB2312" w:eastAsia="仿宋_GB2312" w:cs="仿宋_GB2312"/>
                <w:color w:val="000000"/>
                <w:sz w:val="24"/>
              </w:rPr>
              <w:t>5、机关作风转变明显;</w:t>
            </w:r>
          </w:p>
          <w:p>
            <w:pPr>
              <w:widowControl/>
              <w:jc w:val="left"/>
            </w:pPr>
            <w:r>
              <w:rPr>
                <w:rFonts w:ascii="仿宋_GB2312" w:eastAsia="仿宋_GB2312" w:cs="仿宋_GB2312"/>
                <w:color w:val="000000"/>
                <w:sz w:val="24"/>
              </w:rPr>
              <w:t>6、干部素养有效提升</w:t>
            </w:r>
            <w:r>
              <w:rPr>
                <w:rFonts w:ascii="仿宋_GB2312" w:eastAsia="仿宋_GB2312" w:cs="仿宋_GB2312"/>
                <w:color w:val="000000"/>
                <w:kern w:val="0"/>
                <w:sz w:val="24"/>
              </w:rPr>
              <w:t>。</w:t>
            </w:r>
          </w:p>
        </w:tc>
      </w:tr>
      <w:tr>
        <w:trPr>
          <w:trHeight w:val="614"/>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auto"/>
            <w:noWrap/>
            <w:textDirection w:val="tbRl"/>
            <w:vAlign w:val="center"/>
          </w:tcPr>
          <w:p>
            <w:pPr>
              <w:widowControl/>
              <w:spacing w:line="320" w:lineRule="exact"/>
              <w:jc w:val="center"/>
              <w:rPr>
                <w:rFonts w:eastAsia="仿宋_GB2312"/>
                <w:kern w:val="0"/>
                <w:sz w:val="24"/>
              </w:rPr>
            </w:pPr>
            <w:r>
              <w:rPr>
                <w:rFonts w:eastAsia="仿宋_GB2312"/>
                <w:kern w:val="0"/>
                <w:sz w:val="24"/>
              </w:rPr>
              <w:t>年度绩效指标部门整体支出</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一级指标</w:t>
            </w: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二级指标</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三级指标</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指标值</w:t>
            </w:r>
          </w:p>
        </w:tc>
      </w:tr>
      <w:tr>
        <w:trPr>
          <w:trHeight w:val="776"/>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产出指标</w:t>
              <w:br/>
              <w:t>（预期提供的公共产品或服务，包括数量、质量、时效、成本等）</w:t>
            </w:r>
          </w:p>
        </w:tc>
        <w:tc>
          <w:tcPr>
            <w:tcW w:w="176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数量指标</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ascii="仿宋_GB2312" w:eastAsia="仿宋_GB2312" w:cs="仿宋_GB2312"/>
                <w:color w:val="000000"/>
                <w:sz w:val="24"/>
              </w:rPr>
              <w:t>安排部署会议（电视电话会议）次数</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90余次</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安排部门性会议次数</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ascii="仿宋_GB2312" w:eastAsia="仿宋_GB2312" w:cs="仿宋_GB2312"/>
                <w:color w:val="000000"/>
                <w:sz w:val="24"/>
              </w:rPr>
              <w:t>20余次</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处理公文件数</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ascii="仿宋_GB2312" w:eastAsia="仿宋_GB2312" w:cs="仿宋_GB2312"/>
                <w:color w:val="000000"/>
                <w:sz w:val="24"/>
              </w:rPr>
              <w:t>500余件</w:t>
            </w:r>
          </w:p>
        </w:tc>
      </w:tr>
      <w:tr>
        <w:trPr>
          <w:trHeight w:val="727"/>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工作督查次数</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ascii="仿宋_GB2312" w:eastAsia="仿宋_GB2312" w:cs="仿宋_GB2312"/>
                <w:color w:val="000000"/>
                <w:sz w:val="24"/>
              </w:rPr>
              <w:t>40余次</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机关安保培训次数</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ascii="仿宋_GB2312" w:eastAsia="仿宋_GB2312" w:cs="仿宋_GB2312"/>
                <w:color w:val="000000"/>
                <w:sz w:val="24"/>
              </w:rPr>
              <w:t>1次</w:t>
            </w:r>
          </w:p>
        </w:tc>
      </w:tr>
      <w:tr>
        <w:trPr>
          <w:trHeight w:val="1016"/>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质量指标</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ascii="仿宋_GB2312" w:eastAsia="仿宋_GB2312" w:cs="仿宋_GB2312"/>
                <w:color w:val="000000"/>
                <w:sz w:val="24"/>
              </w:rPr>
              <w:t>确保区办公室日常工作运转正常</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100%</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确保机关安全</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t>100%</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时效指标</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ascii="仿宋_GB2312" w:eastAsia="仿宋_GB2312" w:cs="仿宋_GB2312"/>
                <w:color w:val="000000"/>
                <w:sz w:val="24"/>
              </w:rPr>
              <w:t>办文办会及时有效</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100%</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按时完成各项工作任务</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t>100%</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成本指标</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ascii="仿宋_GB2312" w:eastAsia="仿宋_GB2312" w:cs="仿宋_GB2312"/>
                <w:color w:val="000000"/>
                <w:sz w:val="24"/>
              </w:rPr>
              <w:t>严格按预算执行</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ascii="仿宋_GB2312" w:eastAsia="仿宋_GB2312" w:cs="仿宋_GB2312"/>
                <w:color w:val="000000"/>
                <w:kern w:val="0"/>
                <w:sz w:val="24"/>
              </w:rPr>
              <w:t xml:space="preserve">预算率98% </w:t>
            </w:r>
            <w:r>
              <w:rPr>
                <w:rFonts w:eastAsia="仿宋_GB2312"/>
                <w:kern w:val="0"/>
                <w:sz w:val="24"/>
              </w:rPr>
              <w:t>　</w:t>
            </w:r>
          </w:p>
        </w:tc>
      </w:tr>
      <w:tr>
        <w:trPr>
          <w:trHeight w:val="621"/>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一级指标</w:t>
            </w: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二级指标</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三级指标</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b/>
                <w:bCs/>
                <w:kern w:val="0"/>
                <w:sz w:val="24"/>
              </w:rPr>
            </w:pPr>
            <w:r>
              <w:rPr>
                <w:rFonts w:eastAsia="仿宋_GB2312"/>
                <w:b/>
                <w:bCs/>
                <w:kern w:val="0"/>
                <w:sz w:val="24"/>
              </w:rPr>
              <w:t>指标值</w:t>
            </w:r>
          </w:p>
        </w:tc>
      </w:tr>
      <w:tr>
        <w:trPr>
          <w:trHeight w:val="654"/>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效益指标</w:t>
              <w:br/>
              <w:t>（预期可能实现的效益，包括经济效益、社会效益、环境效益、可持续影响以及服务对象满意度等）</w:t>
            </w: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经济效益</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　</w:t>
            </w:r>
          </w:p>
        </w:tc>
      </w:tr>
      <w:tr>
        <w:trPr>
          <w:trHeight w:val="675"/>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社会效益</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spacing w:line="400" w:lineRule="exact"/>
              <w:jc w:val="both"/>
              <w:textAlignment w:val="center"/>
            </w:pPr>
            <w:r>
              <w:rPr>
                <w:rFonts w:ascii="仿宋_GB2312" w:eastAsia="仿宋_GB2312" w:cs="仿宋_GB2312"/>
                <w:color w:val="000000"/>
                <w:kern w:val="0"/>
                <w:sz w:val="24"/>
              </w:rPr>
              <w:t>提升政府整体形象</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100%</w:t>
            </w:r>
          </w:p>
        </w:tc>
      </w:tr>
      <w:tr>
        <w:trPr>
          <w:trHeight w:val="675"/>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spacing w:line="400" w:lineRule="exact"/>
              <w:jc w:val="left"/>
              <w:textAlignment w:val="center"/>
              <w:rPr>
                <w:rFonts w:eastAsia="仿宋_GB2312"/>
                <w:kern w:val="0"/>
                <w:sz w:val="24"/>
              </w:rPr>
            </w:pPr>
            <w:r>
              <w:rPr>
                <w:rFonts w:ascii="仿宋_GB2312" w:eastAsia="仿宋_GB2312" w:cs="仿宋_GB2312"/>
                <w:color w:val="000000"/>
                <w:sz w:val="24"/>
              </w:rPr>
              <w:t>政府工作宣传到位</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t>100%</w:t>
            </w:r>
          </w:p>
        </w:tc>
      </w:tr>
      <w:tr>
        <w:trPr>
          <w:trHeight w:val="69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spacing w:line="400" w:lineRule="exact"/>
              <w:jc w:val="left"/>
              <w:textAlignment w:val="center"/>
              <w:rPr>
                <w:rFonts w:eastAsia="仿宋_GB2312"/>
                <w:kern w:val="0"/>
                <w:sz w:val="24"/>
              </w:rPr>
            </w:pPr>
            <w:r>
              <w:rPr>
                <w:rFonts w:ascii="仿宋_GB2312" w:eastAsia="仿宋_GB2312" w:cs="仿宋_GB2312"/>
                <w:color w:val="000000"/>
                <w:sz w:val="24"/>
              </w:rPr>
              <w:t>群众工作畅通有效</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t>100%</w:t>
            </w:r>
          </w:p>
        </w:tc>
      </w:tr>
      <w:tr>
        <w:trPr>
          <w:trHeight w:val="675"/>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p>
          <w:p>
            <w:pPr>
              <w:widowControl/>
              <w:jc w:val="center"/>
              <w:rPr>
                <w:rFonts w:eastAsia="仿宋_GB2312"/>
                <w:kern w:val="0"/>
                <w:sz w:val="24"/>
              </w:rPr>
            </w:pPr>
            <w:r>
              <w:rPr>
                <w:rFonts w:eastAsia="仿宋_GB2312"/>
                <w:kern w:val="0"/>
                <w:sz w:val="24"/>
              </w:rPr>
              <w:t>环境效益</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both"/>
            </w:pPr>
            <w:r>
              <w:rPr>
                <w:rFonts w:ascii="仿宋_GB2312" w:eastAsia="仿宋_GB2312" w:cs="仿宋_GB2312"/>
                <w:color w:val="000000"/>
                <w:sz w:val="24"/>
              </w:rPr>
              <w:t>办公环境舒适良好</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ascii="仿宋_GB2312" w:eastAsia="仿宋_GB2312" w:cs="仿宋_GB2312"/>
                <w:color w:val="000000"/>
                <w:sz w:val="24"/>
              </w:rPr>
              <w:t>100%</w:t>
            </w:r>
          </w:p>
        </w:tc>
      </w:tr>
      <w:tr>
        <w:trPr>
          <w:trHeight w:val="63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ascii="仿宋_GB2312" w:eastAsia="仿宋_GB2312" w:cs="仿宋_GB2312"/>
                <w:color w:val="000000"/>
                <w:sz w:val="24"/>
              </w:rPr>
              <w:t>机关生活区域绿化率75%</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100%</w:t>
            </w:r>
          </w:p>
        </w:tc>
      </w:tr>
      <w:tr>
        <w:trPr>
          <w:trHeight w:val="607"/>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可持续影响</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pPr>
            <w:r>
              <w:rPr>
                <w:rFonts w:eastAsia="仿宋_GB2312"/>
                <w:kern w:val="0"/>
                <w:sz w:val="24"/>
              </w:rPr>
              <w:t>提升财务管理水平</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bookmarkStart w:id="1" w:name="__DdeLink__1944_1044631229"/>
            <w:r>
              <w:rPr>
                <w:rFonts w:eastAsia="仿宋_GB2312"/>
                <w:kern w:val="0"/>
                <w:sz w:val="24"/>
              </w:rPr>
              <w:t>100%</w:t>
            </w:r>
            <w:bookmarkEnd w:id="1"/>
          </w:p>
        </w:tc>
      </w:tr>
      <w:tr>
        <w:trPr>
          <w:trHeight w:val="643"/>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eastAsia="仿宋_GB2312"/>
                <w:kern w:val="0"/>
                <w:sz w:val="24"/>
              </w:rPr>
              <w:t>提高服务效率</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pPr>
            <w:r>
              <w:rPr>
                <w:rFonts w:eastAsia="仿宋_GB2312"/>
                <w:kern w:val="0"/>
                <w:sz w:val="24"/>
              </w:rPr>
              <w:t>100%</w:t>
            </w:r>
          </w:p>
        </w:tc>
      </w:tr>
      <w:tr>
        <w:trPr>
          <w:trHeight w:val="799"/>
        </w:trPr>
        <w:tc>
          <w:tcPr>
            <w:tcW w:w="148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tc>
        <w:tc>
          <w:tcPr>
            <w:tcW w:w="176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spacing w:val="-10"/>
                <w:kern w:val="0"/>
                <w:sz w:val="24"/>
              </w:rPr>
            </w:pPr>
            <w:r>
              <w:rPr>
                <w:rFonts w:eastAsia="仿宋_GB2312"/>
                <w:spacing w:val="-10"/>
                <w:kern w:val="0"/>
                <w:sz w:val="24"/>
              </w:rPr>
              <w:t>服务对象满意度</w:t>
            </w:r>
          </w:p>
        </w:tc>
        <w:tc>
          <w:tcPr>
            <w:tcW w:w="340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r>
              <w:rPr>
                <w:rFonts w:eastAsia="仿宋_GB2312"/>
                <w:kern w:val="0"/>
                <w:sz w:val="24"/>
              </w:rPr>
              <w:t>领导认可，群众满意，社会满意</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center"/>
              <w:rPr>
                <w:rFonts w:eastAsia="仿宋_GB2312"/>
                <w:kern w:val="0"/>
                <w:sz w:val="24"/>
              </w:rPr>
            </w:pPr>
            <w:r>
              <w:rPr>
                <w:rFonts w:eastAsia="仿宋_GB2312"/>
                <w:kern w:val="0"/>
                <w:sz w:val="24"/>
              </w:rPr>
              <w:t>98%　</w:t>
            </w:r>
          </w:p>
        </w:tc>
      </w:tr>
      <w:tr>
        <w:trPr>
          <w:trHeight w:val="1458"/>
        </w:trPr>
        <w:tc>
          <w:tcPr>
            <w:tcW w:w="1484" w:type="dxa"/>
            <w:tcBorders>
              <w:top w:val="single" w:sz="6" w:space="0" w:color="000000"/>
              <w:left w:val="single" w:sz="6" w:space="0" w:color="000000"/>
              <w:bottom w:val="single" w:sz="6" w:space="0" w:color="000000"/>
              <w:right w:val="single" w:sz="6" w:space="0" w:color="000000"/>
            </w:tcBorders>
            <w:shd w:val="clear" w:color="auto" w:fill="auto"/>
            <w:noWrap/>
            <w:textDirection w:val="tbRl"/>
            <w:vAlign w:val="center"/>
          </w:tcPr>
          <w:p>
            <w:pPr>
              <w:widowControl/>
              <w:spacing w:line="360" w:lineRule="exact"/>
              <w:jc w:val="center"/>
              <w:rPr>
                <w:rFonts w:eastAsia="仿宋_GB2312"/>
                <w:kern w:val="0"/>
                <w:sz w:val="24"/>
              </w:rPr>
            </w:pPr>
            <w:r>
              <w:rPr>
                <w:rFonts w:eastAsia="仿宋_GB2312"/>
                <w:kern w:val="0"/>
                <w:sz w:val="24"/>
              </w:rPr>
              <w:t>问题</w:t>
              <w:br/>
              <w:t>其他说明的</w:t>
            </w:r>
          </w:p>
        </w:tc>
        <w:tc>
          <w:tcPr>
            <w:tcW w:w="8307" w:type="dxa"/>
            <w:gridSpan w:val="7"/>
            <w:tcBorders>
              <w:top w:val="single" w:sz="6" w:space="0" w:color="000000"/>
              <w:left w:val="single" w:sz="6" w:space="0" w:color="000000"/>
              <w:bottom w:val="single" w:sz="6" w:space="0" w:color="000000"/>
              <w:right w:val="single" w:sz="6" w:space="0" w:color="000000"/>
            </w:tcBorders>
            <w:shd w:val="clear" w:color="auto" w:fill="auto"/>
            <w:noWrap/>
            <w:vAlign w:val="center"/>
          </w:tcPr>
          <w:p>
            <w:pPr>
              <w:widowControl/>
              <w:jc w:val="left"/>
              <w:rPr>
                <w:rFonts w:eastAsia="仿宋_GB2312"/>
                <w:kern w:val="0"/>
                <w:sz w:val="24"/>
              </w:rPr>
            </w:pPr>
          </w:p>
        </w:tc>
      </w:tr>
      <w:tr>
        <w:trPr>
          <w:trHeight w:val="1935"/>
        </w:trPr>
        <w:tc>
          <w:tcPr>
            <w:tcW w:w="1484" w:type="dxa"/>
            <w:tcBorders>
              <w:top w:val="single" w:sz="6" w:space="0" w:color="000000"/>
              <w:left w:val="single" w:sz="6" w:space="0" w:color="000000"/>
              <w:bottom w:val="single" w:sz="6" w:space="0" w:color="000000"/>
              <w:right w:val="single" w:sz="6" w:space="0" w:color="000000"/>
            </w:tcBorders>
            <w:shd w:val="clear" w:color="auto" w:fill="auto"/>
            <w:noWrap/>
            <w:textDirection w:val="tbRl"/>
            <w:vAlign w:val="center"/>
          </w:tcPr>
          <w:p>
            <w:pPr>
              <w:widowControl/>
              <w:spacing w:line="360" w:lineRule="exact"/>
              <w:jc w:val="center"/>
              <w:rPr>
                <w:rFonts w:eastAsia="仿宋_GB2312"/>
                <w:kern w:val="0"/>
                <w:sz w:val="24"/>
              </w:rPr>
            </w:pPr>
            <w:r>
              <w:rPr>
                <w:rFonts w:eastAsia="仿宋_GB2312"/>
                <w:kern w:val="0"/>
                <w:sz w:val="24"/>
              </w:rPr>
              <w:t>审核意见</w:t>
              <w:br/>
              <w:t>财政部门</w:t>
            </w:r>
          </w:p>
        </w:tc>
        <w:tc>
          <w:tcPr>
            <w:tcW w:w="8307" w:type="dxa"/>
            <w:gridSpan w:val="7"/>
            <w:tcBorders>
              <w:top w:val="single" w:sz="6" w:space="0" w:color="000000"/>
              <w:left w:val="single" w:sz="6" w:space="0" w:color="000000"/>
              <w:bottom w:val="single" w:sz="6" w:space="0" w:color="000000"/>
              <w:right w:val="single" w:sz="6" w:space="0" w:color="000000"/>
            </w:tcBorders>
            <w:shd w:val="clear" w:color="auto" w:fill="auto"/>
            <w:noWrap/>
            <w:vAlign w:val="bottom"/>
          </w:tcPr>
          <w:p>
            <w:pPr>
              <w:widowControl/>
              <w:jc w:val="center"/>
              <w:rPr>
                <w:rFonts w:eastAsia="仿宋_GB2312"/>
                <w:kern w:val="0"/>
                <w:sz w:val="24"/>
              </w:rPr>
            </w:pPr>
            <w:r>
              <w:rPr>
                <w:rFonts w:eastAsia="仿宋_GB2312"/>
                <w:kern w:val="0"/>
                <w:sz w:val="24"/>
              </w:rPr>
              <w:br/>
              <w:br/>
              <w:t xml:space="preserve">                                （盖章）</w:t>
              <w:br/>
              <w:br/>
              <w:t xml:space="preserve">                               年     月     日  </w:t>
            </w:r>
          </w:p>
        </w:tc>
      </w:tr>
    </w:tbl>
    <w:p>
      <w:pPr>
        <w:rPr>
          <w:rFonts w:eastAsia="黑体"/>
          <w:bCs/>
          <w:kern w:val="0"/>
          <w:sz w:val="32"/>
          <w:szCs w:val="32"/>
        </w:rPr>
      </w:pPr>
      <w:r>
        <w:rPr>
          <w:rFonts w:eastAsia="仿宋_GB2312"/>
          <w:kern w:val="0"/>
          <w:sz w:val="24"/>
        </w:rPr>
        <w:t xml:space="preserve">单位负责人： 彭志惠         填表人：  易可      填表时间：2021年1月12日                      </w:t>
      </w:r>
    </w:p>
    <w:sectPr>
      <w:headerReference w:type="default" r:id="rId2"/>
      <w:footerReference w:type="default" r:id="rId3"/>
      <w:pgSz w:w="11906" w:h="16838"/>
      <w:pgMar w:top="1440" w:right="1797" w:bottom="1440" w:left="1797" w:header="0" w:footer="992" w:gutter="0"/>
      <w:formProt w:val="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Arial Unicode MS"/>
    <w:panose1 w:val="00000000000000000000"/>
    <w:charset w:val="86"/>
    <w:family w:val="roman"/>
    <w:pitch w:val="variable"/>
    <w:sig w:usb0="00000000" w:usb1="00000000" w:usb2="00000000" w:usb3="00000000" w:csb0="00000000" w:csb1="00000000"/>
  </w:font>
  <w:font w:name="仿宋_GB2312">
    <w:altName w:val="仿宋"/>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 w:name="Mangal">
    <w:panose1 w:val="02040503050203030202"/>
    <w:charset w:val="01"/>
    <w:family w:val="roman"/>
    <w:pitch w:val="variable"/>
    <w:sig w:usb0="00008003" w:usb1="00000000" w:usb2="00000000" w:usb3="00000000" w:csb0="00000001" w:csb1="00000000"/>
  </w:font>
  <w:font w:name="OpenSymbol">
    <w:altName w:val="Arial Unicode MS"/>
    <w:panose1 w:val="00000000000000000000"/>
    <w:charset w:val="86"/>
    <w:family w:val="roman"/>
    <w:pitch w:val="variable"/>
    <w:sig w:usb0="00000000" w:usb1="00000000" w:usb2="00000000" w:usb3="00000000" w:csb0="00000000" w:csb1="00000000"/>
  </w:font>
  <w:font w:name="Liberation Sans">
    <w:altName w:val="宋体"/>
    <w:panose1 w:val="00000000000000000000"/>
    <w:charset w:val="86"/>
    <w:family w:val="roman"/>
    <w:pitch w:val="variable"/>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ind w:right="360"/>
    </w:pPr>
    <w:r>
      <mc:AlternateContent>
        <mc:Choice Requires="wps">
          <w:drawing>
            <wp:anchor distT="0" distB="0" distL="114300" distR="114300" simplePos="0" relativeHeight="12" behindDoc="0" locked="0" layoutInCell="1" hidden="0" allowOverlap="1">
              <wp:simplePos x="0" y="0"/>
              <wp:positionH relativeFrom="column">
                <wp:align>center</wp:align>
              </wp:positionH>
              <wp:positionV relativeFrom="paragraph">
                <wp:posOffset>635</wp:posOffset>
              </wp:positionV>
              <wp:extent cx="1828164" cy="129540"/>
              <wp:effectExtent l="0" t="0" r="0" b="0"/>
              <wp:wrapSquare wrapText="bothSides"/>
              <wp:docPr id="1" name="文本框 1"/>
              <wp:cNvGraphicFramePr>
                <a:graphicFrameLocks noChangeAspect="0"/>
              </wp:cNvGraphicFramePr>
              <a:graphic>
                <a:graphicData uri="http://schemas.microsoft.com/office/word/2010/wordprocessingShape">
                  <wps:wsp>
                    <wps:cNvSpPr/>
                    <wps:spPr>
                      <a:xfrm rot="0">
                        <a:off x="0" y="0"/>
                        <a:ext cx="1828164" cy="129540"/>
                      </a:xfrm>
                      <a:prstGeom prst="rect"/>
                      <a:noFill/>
                      <a:ln w="9525" cmpd="sng" cap="flat">
                        <a:noFill/>
                        <a:prstDash val="solid"/>
                        <a:miter/>
                      </a:ln>
                    </wps:spPr>
                    <wps:txbx id="2">
                      <w:txbxContent>
                        <w:p>
                          <w:pPr>
                            <w:pStyle w:val="26"/>
                            <w:tabs>
                              <w:tab w:val="center" w:pos="4153"/>
                              <w:tab w:val="right" w:pos="8306"/>
                            </w:tabs>
                            <w:rPr>
                              <w:color w:val="000000"/>
                            </w:rPr>
                          </w:pPr>
                          <w:r>
                            <w:fldChar w:fldCharType="begin"/>
                          </w:r>
                          <w:r>
                            <w:instrText>PAGE</w:instrText>
                          </w:r>
                          <w:r>
                            <w:fldChar w:fldCharType="separate"/>
                          </w:r>
                          <w:r>
                            <w:t>2</w:t>
                          </w:r>
                          <w:r>
                            <w:fldChar w:fldCharType="end"/>
                          </w:r>
                        </w:p>
                      </w:txbxContent>
                    </wps:txbx>
                    <wps:bodyPr vert="horz" wrap="square" lIns="91440" tIns="45720" rIns="91440" bIns="45720" anchor="t" anchorCtr="0" upright="1">
                      <a:noAutofit/>
                    </wps:bodyPr>
                  </wps:wsp>
                </a:graphicData>
              </a:graphic>
            </wp:anchor>
          </w:drawing>
        </mc:Choice>
        <mc:Fallback>
          <w:pict>
            <v:rect type="#_x0000_t1" id="文本框 1 3" o:spid="_x0000_s3" filled="f" stroked="f" style="position:absolute;margin-left:0.0pt;margin-top:0.05pt;width:143.95pt;height:10.2pt;z-index:12;mso-position-horizontal:center;mso-position-vertical:absolute;mso-wrap-style:square;">
              <v:stroke color="#000000"/>
              <v:textbox id="848" inset="2.54mm,1.27mm,2.54mm,1.27mm" o:insetmode="custom" style="layout-flow:horizontal;v-text-anchor:top;">
                <w:txbxContent>
                  <w:p>
                    <w:pPr>
                      <w:pStyle w:val="26"/>
                      <w:tabs>
                        <w:tab w:val="center" w:pos="4153"/>
                        <w:tab w:val="right" w:pos="8306"/>
                      </w:tabs>
                      <w:rPr>
                        <w:color w:val="000000"/>
                      </w:rPr>
                    </w:pPr>
                    <w:r>
                      <w:fldChar w:fldCharType="begin"/>
                    </w:r>
                    <w:r>
                      <w:instrText>PAGE</w:instrText>
                    </w:r>
                    <w:r>
                      <w:fldChar w:fldCharType="separate"/>
                    </w:r>
                    <w:r>
                      <w:t>2</w:t>
                    </w:r>
                    <w:r>
                      <w:fldChar w:fldCharType="end"/>
                    </w:r>
                  </w:p>
                </w:txbxContent>
              </v:textbox>
              <w10:wrap type="square"/>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compat>
    <w:spaceForUL/>
    <w:doNotExpandShiftReturn/>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40" w:line="276" w:lineRule="auto"/>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List"/>
    <w:basedOn w:val="15"/>
    <w:rPr>
      <w:rFonts w:cs="Mangal"/>
    </w:rPr>
  </w:style>
  <w:style w:type="character" w:customStyle="1" w:styleId="19">
    <w:name w:val="项目符号"/>
    <w:rPr>
      <w:rFonts w:ascii="OpenSymbol" w:eastAsia="OpenSymbol" w:cs="OpenSymbol" w:hAnsi="OpenSymbol"/>
    </w:rPr>
  </w:style>
  <w:style w:type="character" w:customStyle="1" w:styleId="20">
    <w:name w:val="编号符号"/>
  </w:style>
  <w:style w:type="character" w:customStyle="1" w:styleId="21">
    <w:name w:val="页眉 Char"/>
    <w:basedOn w:val="10"/>
    <w:rPr>
      <w:kern w:val="2"/>
      <w:sz w:val="18"/>
      <w:szCs w:val="18"/>
      <w:lang w:bidi="ar-SA"/>
    </w:rPr>
  </w:style>
  <w:style w:type="character" w:customStyle="1" w:styleId="22">
    <w:name w:val="页脚 Char"/>
    <w:basedOn w:val="10"/>
    <w:rPr>
      <w:kern w:val="2"/>
      <w:sz w:val="18"/>
      <w:szCs w:val="18"/>
      <w:lang w:bidi="ar-SA"/>
    </w:rPr>
  </w:style>
  <w:style w:type="paragraph" w:customStyle="1" w:styleId="23">
    <w:name w:val="标题样式"/>
    <w:basedOn w:val="0"/>
    <w:next w:val="15"/>
    <w:pPr>
      <w:keepNext/>
      <w:widowControl w:val="0"/>
      <w:spacing w:before="240" w:after="120"/>
    </w:pPr>
    <w:rPr>
      <w:rFonts w:ascii="Liberation Sans" w:eastAsia="微软雅黑" w:cs="Mangal" w:hAnsi="Liberation Sans"/>
      <w:sz w:val="28"/>
      <w:szCs w:val="28"/>
    </w:rPr>
  </w:style>
  <w:style w:type="paragraph" w:customStyle="1" w:styleId="24">
    <w:name w:val="Caption"/>
    <w:basedOn w:val="0"/>
    <w:pPr>
      <w:widowControl w:val="0"/>
      <w:suppressLineNumbers/>
      <w:spacing w:before="120" w:after="120"/>
    </w:pPr>
    <w:rPr>
      <w:rFonts w:cs="Mangal"/>
      <w:i/>
      <w:iCs/>
      <w:sz w:val="24"/>
    </w:rPr>
  </w:style>
  <w:style w:type="paragraph" w:customStyle="1" w:styleId="25">
    <w:name w:val="索引"/>
    <w:basedOn w:val="0"/>
    <w:pPr>
      <w:widowControl w:val="0"/>
      <w:suppressLineNumbers/>
    </w:pPr>
    <w:rPr>
      <w:rFonts w:cs="Mangal"/>
    </w:rPr>
  </w:style>
  <w:style w:type="paragraph" w:customStyle="1" w:styleId="26">
    <w:name w:val="Footer"/>
    <w:basedOn w:val="0"/>
    <w:pPr>
      <w:tabs>
        <w:tab w:val="center" w:pos="4153"/>
        <w:tab w:val="right" w:pos="8306"/>
      </w:tabs>
      <w:snapToGrid w:val="0"/>
      <w:jc w:val="left"/>
    </w:pPr>
    <w:rPr>
      <w:sz w:val="18"/>
      <w:szCs w:val="18"/>
    </w:rPr>
  </w:style>
  <w:style w:type="paragraph" w:customStyle="1" w:styleId="27">
    <w:name w:val="Header"/>
    <w:basedOn w:val="0"/>
    <w:pPr>
      <w:pBdr>
        <w:bottom w:val="single" w:sz="6" w:space="1" w:color="000000"/>
      </w:pBdr>
      <w:tabs>
        <w:tab w:val="center" w:pos="4153"/>
        <w:tab w:val="right" w:pos="8306"/>
      </w:tabs>
      <w:snapToGrid w:val="0"/>
      <w:jc w:val="center"/>
    </w:pPr>
    <w:rPr>
      <w:sz w:val="18"/>
      <w:szCs w:val="18"/>
    </w:rPr>
  </w:style>
  <w:style w:type="paragraph" w:customStyle="1" w:styleId="28">
    <w:name w:val="框架内容"/>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Yozo_Office27021597764231180</Application>
  <Pages>3</Pages>
  <Words>0</Words>
  <Characters>1226</Characters>
  <Lines>0</Lines>
  <Paragraphs>6</Paragraphs>
  <CharactersWithSpaces>1635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14</cp:revision>
  <dcterms:created xsi:type="dcterms:W3CDTF">2020-12-21T01:17:00Z</dcterms:created>
  <dcterms:modified xsi:type="dcterms:W3CDTF">2021-04-03T09:05:18Z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12.0000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2052-11.1.0.10314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