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36"/>
          <w:szCs w:val="36"/>
        </w:rPr>
      </w:pPr>
      <w:r>
        <w:rPr>
          <w:rFonts w:hint="eastAsia" w:eastAsia="方正小标宋_GBK"/>
          <w:sz w:val="36"/>
          <w:szCs w:val="36"/>
          <w:lang w:val="en-US" w:eastAsia="zh-CN"/>
        </w:rPr>
        <w:t>城管局</w:t>
      </w:r>
      <w:r>
        <w:rPr>
          <w:rFonts w:hint="eastAsia" w:eastAsia="方正小标宋_GBK"/>
          <w:sz w:val="36"/>
          <w:szCs w:val="36"/>
          <w:lang w:eastAsia="zh-CN"/>
        </w:rPr>
        <w:t>项目</w:t>
      </w:r>
      <w:r>
        <w:rPr>
          <w:rFonts w:eastAsia="方正小标宋_GBK"/>
          <w:sz w:val="36"/>
          <w:szCs w:val="36"/>
        </w:rPr>
        <w:t>支出绩效评价报告</w:t>
      </w:r>
    </w:p>
    <w:p>
      <w:pPr>
        <w:spacing w:line="60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路灯电费维护</w:t>
      </w:r>
      <w:r>
        <w:rPr>
          <w:rFonts w:hint="eastAsia" w:asciiTheme="minorEastAsia" w:hAnsiTheme="minorEastAsia" w:eastAsiaTheme="minorEastAsia" w:cstheme="minorEastAsia"/>
          <w:kern w:val="0"/>
          <w:sz w:val="30"/>
          <w:szCs w:val="30"/>
        </w:rPr>
        <w:t>费</w:t>
      </w:r>
      <w:r>
        <w:rPr>
          <w:rFonts w:hint="eastAsia" w:asciiTheme="minorEastAsia" w:hAnsiTheme="minorEastAsia" w:eastAsiaTheme="minorEastAsia" w:cstheme="minorEastAsia"/>
          <w:sz w:val="30"/>
          <w:szCs w:val="30"/>
          <w:lang w:eastAsia="zh-CN"/>
        </w:rPr>
        <w:t>）</w:t>
      </w:r>
    </w:p>
    <w:p>
      <w:pPr>
        <w:spacing w:line="360" w:lineRule="exact"/>
        <w:rPr>
          <w:rFonts w:hint="eastAsia" w:asciiTheme="minorEastAsia" w:hAnsiTheme="minorEastAsia" w:eastAsiaTheme="minorEastAsia" w:cstheme="minorEastAsia"/>
          <w:kern w:val="0"/>
          <w:sz w:val="30"/>
          <w:szCs w:val="30"/>
        </w:rPr>
      </w:pPr>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w:t>
      </w:r>
      <w:r>
        <w:rPr>
          <w:rFonts w:hint="eastAsia" w:asciiTheme="minorEastAsia" w:hAnsiTheme="minorEastAsia" w:eastAsiaTheme="minorEastAsia" w:cstheme="minorEastAsia"/>
          <w:b/>
          <w:bCs/>
          <w:sz w:val="30"/>
          <w:szCs w:val="30"/>
          <w:lang w:eastAsia="zh-CN"/>
        </w:rPr>
        <w:t>项目</w:t>
      </w:r>
      <w:r>
        <w:rPr>
          <w:rFonts w:hint="eastAsia" w:asciiTheme="minorEastAsia" w:hAnsiTheme="minorEastAsia" w:eastAsiaTheme="minorEastAsia" w:cstheme="minorEastAsia"/>
          <w:b/>
          <w:bCs/>
          <w:sz w:val="30"/>
          <w:szCs w:val="30"/>
        </w:rPr>
        <w:t>支出基本情况</w:t>
      </w:r>
    </w:p>
    <w:p>
      <w:pPr>
        <w:spacing w:line="600" w:lineRule="exact"/>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支出概况。</w:t>
      </w:r>
      <w:r>
        <w:rPr>
          <w:rFonts w:hint="eastAsia" w:asciiTheme="minorEastAsia" w:hAnsiTheme="minorEastAsia" w:eastAsiaTheme="minorEastAsia" w:cstheme="minorEastAsia"/>
          <w:sz w:val="30"/>
          <w:szCs w:val="30"/>
          <w:lang w:val="en-US" w:eastAsia="zh-CN"/>
        </w:rPr>
        <w:t>路灯电费维护</w:t>
      </w:r>
      <w:r>
        <w:rPr>
          <w:rFonts w:hint="eastAsia" w:asciiTheme="minorEastAsia" w:hAnsiTheme="minorEastAsia" w:eastAsiaTheme="minorEastAsia" w:cstheme="minorEastAsia"/>
          <w:kern w:val="0"/>
          <w:sz w:val="30"/>
          <w:szCs w:val="30"/>
        </w:rPr>
        <w:t>费</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项目资金共计155万元。</w:t>
      </w:r>
    </w:p>
    <w:p>
      <w:pPr>
        <w:spacing w:line="600" w:lineRule="exact"/>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资金使用管理情况</w:t>
      </w:r>
    </w:p>
    <w:p>
      <w:pPr>
        <w:spacing w:line="600" w:lineRule="exact"/>
        <w:ind w:firstLine="600" w:firstLineChars="200"/>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rPr>
        <w:t>屈办发[2019]20号关于印发各单位《职能配置、内设机构人员编制规定》的通知。并历年纳入预算</w:t>
      </w:r>
      <w:r>
        <w:rPr>
          <w:rFonts w:hint="eastAsia" w:asciiTheme="minorEastAsia" w:hAnsiTheme="minorEastAsia" w:eastAsiaTheme="minorEastAsia" w:cstheme="minorEastAsia"/>
          <w:kern w:val="0"/>
          <w:sz w:val="30"/>
          <w:szCs w:val="30"/>
          <w:lang w:eastAsia="zh-CN"/>
        </w:rPr>
        <w:t>。</w:t>
      </w:r>
    </w:p>
    <w:p>
      <w:pPr>
        <w:spacing w:line="600" w:lineRule="exact"/>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支出绩效目标完成程度。</w:t>
      </w:r>
    </w:p>
    <w:p>
      <w:pPr>
        <w:widowControl/>
        <w:jc w:val="center"/>
        <w:textAlignment w:val="baseline"/>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val="0"/>
          <w:bCs/>
          <w:sz w:val="30"/>
          <w:szCs w:val="30"/>
          <w:lang w:val="en-US" w:eastAsia="zh-CN"/>
        </w:rPr>
        <w:t>根据</w:t>
      </w:r>
      <w:r>
        <w:rPr>
          <w:rFonts w:hint="eastAsia" w:asciiTheme="minorEastAsia" w:hAnsiTheme="minorEastAsia" w:eastAsiaTheme="minorEastAsia" w:cstheme="minorEastAsia"/>
          <w:kern w:val="0"/>
          <w:sz w:val="30"/>
          <w:szCs w:val="30"/>
        </w:rPr>
        <w:t>1、制定《城区路灯维护管理制度》</w:t>
      </w:r>
    </w:p>
    <w:p>
      <w:pPr>
        <w:spacing w:line="600" w:lineRule="exact"/>
        <w:ind w:firstLine="600" w:firstLineChars="200"/>
        <w:rPr>
          <w:rFonts w:hint="eastAsia" w:asciiTheme="minorEastAsia" w:hAnsiTheme="minorEastAsia" w:eastAsiaTheme="minorEastAsia" w:cstheme="minorEastAsia"/>
          <w:sz w:val="30"/>
          <w:szCs w:val="30"/>
          <w:highlight w:val="none"/>
          <w:lang w:val="en-US"/>
        </w:rPr>
      </w:pPr>
      <w:r>
        <w:rPr>
          <w:rFonts w:hint="eastAsia" w:asciiTheme="minorEastAsia" w:hAnsiTheme="minorEastAsia" w:eastAsiaTheme="minorEastAsia" w:cstheme="minorEastAsia"/>
          <w:kern w:val="0"/>
          <w:sz w:val="30"/>
          <w:szCs w:val="30"/>
        </w:rPr>
        <w:t>2、《车辆安全管理规定、路灯维护员岗位责任制》　</w:t>
      </w:r>
      <w:r>
        <w:rPr>
          <w:rFonts w:hint="eastAsia" w:asciiTheme="minorEastAsia" w:hAnsiTheme="minorEastAsia" w:eastAsiaTheme="minorEastAsia" w:cstheme="minorEastAsia"/>
          <w:b w:val="0"/>
          <w:bCs/>
          <w:sz w:val="30"/>
          <w:szCs w:val="30"/>
          <w:lang w:val="en-US" w:eastAsia="zh-CN"/>
        </w:rPr>
        <w:t>在申报项目绩效评价时已经申报，于本年度已经全部支出，预算完成率100%。</w:t>
      </w:r>
      <w:r>
        <w:rPr>
          <w:rFonts w:hint="eastAsia" w:asciiTheme="minorEastAsia" w:hAnsiTheme="minorEastAsia" w:eastAsiaTheme="minorEastAsia" w:cstheme="minorEastAsia"/>
          <w:sz w:val="30"/>
          <w:szCs w:val="30"/>
          <w:highlight w:val="none"/>
          <w:lang w:val="en-US" w:eastAsia="zh-CN"/>
        </w:rPr>
        <w:t>根据年初设定的绩效目标，本年项目预算投入155万元，支出为155万元，完成预算的100%，该项目预算绩效目标值100分，评定99分，项目绩效目标完成情况如下：一是保障效益、资金使用合规性以及项目完成时效性等产出指标均达到预算指标值；二是经济效益、社会效益以及可持续影响等效益指标均达到预算指标值。</w:t>
      </w:r>
    </w:p>
    <w:p>
      <w:pPr>
        <w:spacing w:line="600" w:lineRule="exact"/>
        <w:ind w:firstLine="600" w:firstLineChars="200"/>
        <w:rPr>
          <w:rFonts w:hint="eastAsia" w:asciiTheme="minorEastAsia" w:hAnsiTheme="minorEastAsia" w:eastAsiaTheme="minorEastAsia" w:cstheme="minorEastAsia"/>
          <w:sz w:val="30"/>
          <w:szCs w:val="30"/>
        </w:rPr>
      </w:pPr>
    </w:p>
    <w:p>
      <w:pPr>
        <w:numPr>
          <w:ilvl w:val="0"/>
          <w:numId w:val="1"/>
        </w:num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绩效评价工作情况</w:t>
      </w:r>
    </w:p>
    <w:p>
      <w:p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eastAsia="zh-CN"/>
        </w:rPr>
        <w:t>（</w:t>
      </w:r>
      <w:r>
        <w:rPr>
          <w:rFonts w:hint="eastAsia" w:asciiTheme="minorEastAsia" w:hAnsiTheme="minorEastAsia" w:eastAsiaTheme="minorEastAsia" w:cstheme="minorEastAsia"/>
          <w:b/>
          <w:bCs/>
          <w:sz w:val="30"/>
          <w:szCs w:val="30"/>
          <w:highlight w:val="none"/>
          <w:lang w:val="en-US" w:eastAsia="zh-CN"/>
        </w:rPr>
        <w:t>一</w:t>
      </w:r>
      <w:r>
        <w:rPr>
          <w:rFonts w:hint="eastAsia" w:asciiTheme="minorEastAsia" w:hAnsiTheme="minorEastAsia" w:eastAsiaTheme="minorEastAsia" w:cstheme="minorEastAsia"/>
          <w:b/>
          <w:bCs/>
          <w:sz w:val="30"/>
          <w:szCs w:val="30"/>
          <w:highlight w:val="none"/>
          <w:lang w:eastAsia="zh-CN"/>
        </w:rPr>
        <w:t>）</w:t>
      </w:r>
      <w:r>
        <w:rPr>
          <w:rFonts w:hint="eastAsia" w:asciiTheme="minorEastAsia" w:hAnsiTheme="minorEastAsia" w:eastAsiaTheme="minorEastAsia" w:cstheme="minorEastAsia"/>
          <w:b/>
          <w:bCs/>
          <w:sz w:val="30"/>
          <w:szCs w:val="30"/>
          <w:highlight w:val="none"/>
          <w:lang w:val="en-US" w:eastAsia="zh-CN"/>
        </w:rPr>
        <w:t>绩效评价目的、对象和范围。</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lang w:val="en-US" w:eastAsia="zh-CN"/>
        </w:rPr>
        <w:t>1.绩效评价目的。</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 绩效评价的目的在于进一步规范项目管理，提高项目资金使用绩效。</w:t>
      </w:r>
    </w:p>
    <w:p>
      <w:p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2.绩效评价对象和范围。</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范围：</w:t>
      </w:r>
      <w:r>
        <w:rPr>
          <w:rFonts w:hint="eastAsia" w:asciiTheme="minorEastAsia" w:hAnsiTheme="minorEastAsia" w:eastAsiaTheme="minorEastAsia" w:cstheme="minorEastAsia"/>
          <w:kern w:val="0"/>
          <w:sz w:val="30"/>
          <w:szCs w:val="30"/>
        </w:rPr>
        <w:t>城区公园、公共绿地、街道、其他园林绿化维护维管</w:t>
      </w:r>
    </w:p>
    <w:p>
      <w:pPr>
        <w:numPr>
          <w:ilvl w:val="0"/>
          <w:numId w:val="2"/>
        </w:num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评价方法和评价等次。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lang w:val="en-US" w:eastAsia="zh-CN"/>
        </w:rPr>
        <w:t>评价方法：主要采用定量与定性分析相结合原则考评。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val="0"/>
          <w:bCs w:val="0"/>
          <w:sz w:val="30"/>
          <w:szCs w:val="30"/>
          <w:highlight w:val="none"/>
          <w:lang w:val="en-US" w:eastAsia="zh-CN"/>
        </w:rPr>
        <w:t>评价等次：2021年</w:t>
      </w:r>
      <w:r>
        <w:rPr>
          <w:rFonts w:hint="eastAsia" w:asciiTheme="minorEastAsia" w:hAnsiTheme="minorEastAsia" w:eastAsiaTheme="minorEastAsia" w:cstheme="minorEastAsia"/>
          <w:sz w:val="30"/>
          <w:szCs w:val="30"/>
          <w:lang w:val="en-US" w:eastAsia="zh-CN"/>
        </w:rPr>
        <w:t>路灯电费维护</w:t>
      </w:r>
      <w:r>
        <w:rPr>
          <w:rFonts w:hint="eastAsia" w:asciiTheme="minorEastAsia" w:hAnsiTheme="minorEastAsia" w:eastAsiaTheme="minorEastAsia" w:cstheme="minorEastAsia"/>
          <w:kern w:val="0"/>
          <w:sz w:val="30"/>
          <w:szCs w:val="30"/>
        </w:rPr>
        <w:t>费</w:t>
      </w:r>
      <w:r>
        <w:rPr>
          <w:rFonts w:hint="eastAsia" w:asciiTheme="minorEastAsia" w:hAnsiTheme="minorEastAsia" w:eastAsiaTheme="minorEastAsia" w:cstheme="minorEastAsia"/>
          <w:b w:val="0"/>
          <w:bCs w:val="0"/>
          <w:sz w:val="30"/>
          <w:szCs w:val="30"/>
          <w:highlight w:val="none"/>
          <w:lang w:val="en-US" w:eastAsia="zh-CN"/>
        </w:rPr>
        <w:t>项目预算支出155万元，实际支出155万元，支出执行率100%，因此整体项目评价为优。</w:t>
      </w:r>
    </w:p>
    <w:p>
      <w:pPr>
        <w:numPr>
          <w:ilvl w:val="0"/>
          <w:numId w:val="1"/>
        </w:numPr>
        <w:spacing w:line="600" w:lineRule="exact"/>
        <w:ind w:left="0" w:leftChars="0"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项目</w:t>
      </w:r>
      <w:r>
        <w:rPr>
          <w:rFonts w:hint="eastAsia" w:asciiTheme="minorEastAsia" w:hAnsiTheme="minorEastAsia" w:eastAsiaTheme="minorEastAsia" w:cstheme="minorEastAsia"/>
          <w:b/>
          <w:bCs/>
          <w:sz w:val="30"/>
          <w:szCs w:val="30"/>
        </w:rPr>
        <w:t>支出主要绩效及评价结论</w:t>
      </w:r>
    </w:p>
    <w:p>
      <w:pPr>
        <w:numPr>
          <w:ilvl w:val="0"/>
          <w:numId w:val="0"/>
        </w:numPr>
        <w:spacing w:line="600" w:lineRule="exact"/>
        <w:ind w:firstLine="900" w:firstLineChars="3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kern w:val="0"/>
          <w:sz w:val="30"/>
          <w:szCs w:val="30"/>
        </w:rPr>
        <w:t>城区公园、公共绿地、街道、其他园林绿化维护维管</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b w:val="0"/>
          <w:bCs w:val="0"/>
          <w:sz w:val="30"/>
          <w:szCs w:val="30"/>
          <w:highlight w:val="none"/>
          <w:lang w:val="en-US" w:eastAsia="zh-CN"/>
        </w:rPr>
        <w:t>整体项目评价为优。</w:t>
      </w:r>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四、绩效评价指标分析</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（一）</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支出决策</w:t>
      </w:r>
      <w:r>
        <w:rPr>
          <w:rFonts w:hint="eastAsia" w:asciiTheme="minorEastAsia" w:hAnsiTheme="minorEastAsia" w:eastAsiaTheme="minorEastAsia" w:cstheme="minorEastAsia"/>
          <w:b/>
          <w:sz w:val="30"/>
          <w:szCs w:val="30"/>
          <w:highlight w:val="none"/>
          <w:lang w:val="en-US" w:eastAsia="zh-CN"/>
        </w:rPr>
        <w:t>分值20分，得分20分：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1.项目决策过程分值8分，得分8分：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kern w:val="0"/>
          <w:sz w:val="30"/>
          <w:szCs w:val="30"/>
        </w:rPr>
        <w:t>城区公园、公共绿地、街道、其他园林绿化维护维管</w:t>
      </w: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highlight w:val="none"/>
          <w:lang w:val="en-US" w:eastAsia="zh-CN"/>
        </w:rPr>
        <w:t>得分8分。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2.绩效目标分值7分，得分7分：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符合年度以及项目目标的基本因素，明确产出指标、满意度指标等绩效指标要求得分7分。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3.资金投入目标5分，得分5分：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专项资金纳入资金预算管理，专款专用，确保了资金总体收支平衡的同时实现项目建设的目标，得分5分。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（二）</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执行过程情况</w:t>
      </w:r>
      <w:r>
        <w:rPr>
          <w:rFonts w:hint="eastAsia" w:asciiTheme="minorEastAsia" w:hAnsiTheme="minorEastAsia" w:eastAsiaTheme="minorEastAsia" w:cstheme="minorEastAsia"/>
          <w:b/>
          <w:sz w:val="30"/>
          <w:szCs w:val="30"/>
          <w:highlight w:val="none"/>
          <w:lang w:val="en-US" w:eastAsia="zh-CN"/>
        </w:rPr>
        <w:t>分值35分，得分34分：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 xml:space="preserve"> </w:t>
      </w:r>
      <w:r>
        <w:rPr>
          <w:rFonts w:hint="eastAsia" w:asciiTheme="minorEastAsia" w:hAnsiTheme="minorEastAsia" w:eastAsiaTheme="minorEastAsia" w:cstheme="minorEastAsia"/>
          <w:b/>
          <w:bCs w:val="0"/>
          <w:sz w:val="30"/>
          <w:szCs w:val="30"/>
          <w:highlight w:val="none"/>
          <w:lang w:val="en-US" w:eastAsia="zh-CN"/>
        </w:rPr>
        <w:t>1.资金管理分值20分，得分20分：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资金预算155万，财政预算内拨款155万，到位率100%。财政拨款155万，实际支出155万，全年预算执行率100%。项目资金使用符合国家财经法规和财务管理制度以及有关专项资金管理办法的规定；资金的拨付有完整的审批程序和手续；符合项目预算批复规定的用途；实施方式合规，得分20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2.项目实施分值15分，得分14分：</w:t>
      </w:r>
    </w:p>
    <w:p>
      <w:pPr>
        <w:spacing w:line="600" w:lineRule="exact"/>
        <w:ind w:firstLine="600" w:firstLineChars="200"/>
        <w:rPr>
          <w:rFonts w:hint="eastAsia" w:asciiTheme="minorEastAsia" w:hAnsiTheme="minorEastAsia" w:eastAsiaTheme="minorEastAsia" w:cstheme="minorEastAsia"/>
          <w:b/>
          <w:sz w:val="30"/>
          <w:szCs w:val="30"/>
          <w:highlight w:val="none"/>
          <w:lang w:val="en-US"/>
        </w:rPr>
      </w:pPr>
      <w:r>
        <w:rPr>
          <w:rFonts w:hint="eastAsia" w:asciiTheme="minorEastAsia" w:hAnsiTheme="minorEastAsia" w:eastAsiaTheme="minorEastAsia" w:cstheme="minorEastAsia"/>
          <w:b w:val="0"/>
          <w:bCs/>
          <w:sz w:val="30"/>
          <w:szCs w:val="30"/>
          <w:highlight w:val="none"/>
          <w:lang w:val="en-US" w:eastAsia="zh-CN"/>
        </w:rPr>
        <w:t>为保障本项目的实施，制定了相应的工作规范及内控制度，在实施过程中，按照制度执行，但工作质量标准偏低，有少许工作拖沓，影响前期项目执行进度计划，后期将严格按照计划进度执行，得分14分。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（三）</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支出产出</w:t>
      </w:r>
      <w:r>
        <w:rPr>
          <w:rFonts w:hint="eastAsia" w:asciiTheme="minorEastAsia" w:hAnsiTheme="minorEastAsia" w:eastAsiaTheme="minorEastAsia" w:cstheme="minorEastAsia"/>
          <w:b/>
          <w:sz w:val="30"/>
          <w:szCs w:val="30"/>
          <w:highlight w:val="none"/>
          <w:lang w:val="en-US" w:eastAsia="zh-CN"/>
        </w:rPr>
        <w:t>情况分值30分，得分26分：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1.产出数量分值7分，得分7分：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本项目投入155万，按照155万产出，达到预期项目效果，</w:t>
      </w:r>
      <w:r>
        <w:rPr>
          <w:rFonts w:hint="eastAsia" w:asciiTheme="minorEastAsia" w:hAnsiTheme="minorEastAsia" w:eastAsiaTheme="minorEastAsia" w:cstheme="minorEastAsia"/>
          <w:kern w:val="0"/>
          <w:sz w:val="30"/>
          <w:szCs w:val="30"/>
        </w:rPr>
        <w:t>城区公园、公共绿地、街道、其他园林绿化维护维管</w:t>
      </w:r>
      <w:r>
        <w:rPr>
          <w:rFonts w:hint="eastAsia" w:asciiTheme="minorEastAsia" w:hAnsiTheme="minorEastAsia" w:eastAsiaTheme="minorEastAsia" w:cstheme="minorEastAsia"/>
          <w:b w:val="0"/>
          <w:bCs/>
          <w:sz w:val="30"/>
          <w:szCs w:val="30"/>
          <w:highlight w:val="none"/>
          <w:lang w:val="en-US" w:eastAsia="zh-CN"/>
        </w:rPr>
        <w:t>，完成率100%，得分7分。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2.产出质量分值5分，得3分：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本项目投入155万，按照155万产出，一定程度保障了</w:t>
      </w:r>
      <w:r>
        <w:rPr>
          <w:rFonts w:hint="eastAsia" w:asciiTheme="minorEastAsia" w:hAnsiTheme="minorEastAsia" w:eastAsiaTheme="minorEastAsia" w:cstheme="minorEastAsia"/>
          <w:kern w:val="0"/>
          <w:sz w:val="30"/>
          <w:szCs w:val="30"/>
        </w:rPr>
        <w:t>全</w:t>
      </w:r>
      <w:r>
        <w:rPr>
          <w:rFonts w:hint="eastAsia" w:asciiTheme="minorEastAsia" w:hAnsiTheme="minorEastAsia" w:eastAsiaTheme="minorEastAsia" w:cstheme="minorEastAsia"/>
          <w:kern w:val="0"/>
          <w:sz w:val="30"/>
          <w:szCs w:val="30"/>
          <w:lang w:val="en-US" w:eastAsia="zh-CN"/>
        </w:rPr>
        <w:t>区</w:t>
      </w:r>
      <w:r>
        <w:rPr>
          <w:rFonts w:hint="eastAsia" w:asciiTheme="minorEastAsia" w:hAnsiTheme="minorEastAsia" w:eastAsiaTheme="minorEastAsia" w:cstheme="minorEastAsia"/>
          <w:kern w:val="0"/>
          <w:sz w:val="30"/>
          <w:szCs w:val="30"/>
        </w:rPr>
        <w:t>定期调整路灯开放时间、控制用电、保证路灯正常运行</w:t>
      </w:r>
      <w:r>
        <w:rPr>
          <w:rFonts w:hint="eastAsia" w:asciiTheme="minorEastAsia" w:hAnsiTheme="minorEastAsia" w:eastAsiaTheme="minorEastAsia" w:cstheme="minorEastAsia"/>
          <w:b w:val="0"/>
          <w:bCs/>
          <w:sz w:val="30"/>
          <w:szCs w:val="30"/>
          <w:highlight w:val="none"/>
          <w:lang w:val="en-US" w:eastAsia="zh-CN"/>
        </w:rPr>
        <w:t>问题，得分3分。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3.产出时效分值6分，得分4分：</w:t>
      </w:r>
    </w:p>
    <w:p>
      <w:pPr>
        <w:spacing w:line="600" w:lineRule="exact"/>
        <w:ind w:firstLine="600"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val="0"/>
          <w:bCs/>
          <w:sz w:val="30"/>
          <w:szCs w:val="30"/>
          <w:highlight w:val="none"/>
          <w:lang w:val="en-US" w:eastAsia="zh-CN"/>
        </w:rPr>
        <w:t>本项目能预期完成项目任务。得分4分。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4.产出成本分值12分，得分12分：</w:t>
      </w:r>
    </w:p>
    <w:p>
      <w:pPr>
        <w:spacing w:line="600" w:lineRule="exact"/>
        <w:ind w:firstLine="600" w:firstLineChars="200"/>
        <w:rPr>
          <w:rFonts w:hint="eastAsia" w:asciiTheme="minorEastAsia" w:hAnsiTheme="minorEastAsia" w:eastAsiaTheme="minorEastAsia" w:cstheme="minorEastAsia"/>
          <w:b/>
          <w:sz w:val="30"/>
          <w:szCs w:val="30"/>
          <w:highlight w:val="none"/>
          <w:lang w:val="en-US"/>
        </w:rPr>
      </w:pPr>
      <w:r>
        <w:rPr>
          <w:rFonts w:hint="eastAsia" w:asciiTheme="minorEastAsia" w:hAnsiTheme="minorEastAsia" w:eastAsiaTheme="minorEastAsia" w:cstheme="minorEastAsia"/>
          <w:b w:val="0"/>
          <w:bCs/>
          <w:sz w:val="30"/>
          <w:szCs w:val="30"/>
          <w:highlight w:val="none"/>
          <w:lang w:val="en-US" w:eastAsia="zh-CN"/>
        </w:rPr>
        <w:t>本项目计划成本155万，建设成本155万，收支平衡，得分12分。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（四）</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支出效益情况</w:t>
      </w:r>
      <w:r>
        <w:rPr>
          <w:rFonts w:hint="eastAsia" w:asciiTheme="minorEastAsia" w:hAnsiTheme="minorEastAsia" w:eastAsiaTheme="minorEastAsia" w:cstheme="minorEastAsia"/>
          <w:b/>
          <w:sz w:val="30"/>
          <w:szCs w:val="30"/>
          <w:highlight w:val="none"/>
          <w:lang w:val="en-US" w:eastAsia="zh-CN"/>
        </w:rPr>
        <w:t>分值15分，得分14分：</w:t>
      </w:r>
    </w:p>
    <w:p>
      <w:pPr>
        <w:spacing w:line="600" w:lineRule="exact"/>
        <w:ind w:firstLine="600" w:firstLineChars="200"/>
        <w:rPr>
          <w:rFonts w:hint="eastAsia" w:asciiTheme="minorEastAsia" w:hAnsiTheme="minorEastAsia" w:eastAsiaTheme="minorEastAsia" w:cstheme="minorEastAsia"/>
          <w:b w:val="0"/>
          <w:bCs/>
          <w:sz w:val="30"/>
          <w:szCs w:val="30"/>
          <w:highlight w:val="none"/>
        </w:rPr>
      </w:pPr>
      <w:r>
        <w:rPr>
          <w:rFonts w:hint="eastAsia" w:asciiTheme="minorEastAsia" w:hAnsiTheme="minorEastAsia" w:eastAsiaTheme="minorEastAsia" w:cstheme="minorEastAsia"/>
          <w:b w:val="0"/>
          <w:bCs/>
          <w:sz w:val="30"/>
          <w:szCs w:val="30"/>
          <w:highlight w:val="none"/>
          <w:lang w:val="en-US" w:eastAsia="zh-CN"/>
        </w:rPr>
        <w:t>本项目旨在符合国家规定的基础上，提升</w:t>
      </w:r>
      <w:r>
        <w:rPr>
          <w:rFonts w:hint="eastAsia" w:asciiTheme="minorEastAsia" w:hAnsiTheme="minorEastAsia" w:eastAsiaTheme="minorEastAsia" w:cstheme="minorEastAsia"/>
          <w:kern w:val="0"/>
          <w:sz w:val="30"/>
          <w:szCs w:val="30"/>
        </w:rPr>
        <w:t>全</w:t>
      </w:r>
      <w:r>
        <w:rPr>
          <w:rFonts w:hint="eastAsia" w:asciiTheme="minorEastAsia" w:hAnsiTheme="minorEastAsia" w:eastAsiaTheme="minorEastAsia" w:cstheme="minorEastAsia"/>
          <w:kern w:val="0"/>
          <w:sz w:val="30"/>
          <w:szCs w:val="30"/>
          <w:lang w:val="en-US" w:eastAsia="zh-CN"/>
        </w:rPr>
        <w:t>区</w:t>
      </w:r>
      <w:r>
        <w:rPr>
          <w:rFonts w:hint="eastAsia" w:asciiTheme="minorEastAsia" w:hAnsiTheme="minorEastAsia" w:eastAsiaTheme="minorEastAsia" w:cstheme="minorEastAsia"/>
          <w:kern w:val="0"/>
          <w:sz w:val="30"/>
          <w:szCs w:val="30"/>
        </w:rPr>
        <w:t>定期调整路灯开放时间、控制用电、保证路灯正常运行。</w:t>
      </w:r>
      <w:r>
        <w:rPr>
          <w:rFonts w:hint="eastAsia" w:asciiTheme="minorEastAsia" w:hAnsiTheme="minorEastAsia" w:eastAsiaTheme="minorEastAsia" w:cstheme="minorEastAsia"/>
          <w:b w:val="0"/>
          <w:bCs/>
          <w:sz w:val="30"/>
          <w:szCs w:val="30"/>
          <w:highlight w:val="none"/>
          <w:lang w:val="en-US" w:eastAsia="zh-CN"/>
        </w:rPr>
        <w:t>满意度较往年有所提升，满意度和知晓度均提高，得分14分。</w:t>
      </w:r>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五、主要经验及做法、存在的问题及原因分析</w:t>
      </w:r>
    </w:p>
    <w:p>
      <w:pPr>
        <w:spacing w:line="60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主要经验是严格按照政策：</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1.加强项目资金的管理使用，提高项目资金的使用效率，发挥好项目资金促进民生的作用。</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2.加强对自己管理使用的监督检查，确保及时发现资金使用中存在的问题，保证资金的安全。</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3.加强财务风险防控。</w:t>
      </w:r>
    </w:p>
    <w:p>
      <w:pPr>
        <w:spacing w:line="600" w:lineRule="exact"/>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4.加大绩效评价结果运用力度，积极推进绩效评价结果在项目申报、资金安排方面的运用，提升资金使用效益。</w:t>
      </w:r>
    </w:p>
    <w:p>
      <w:pPr>
        <w:spacing w:line="60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w:t>
      </w:r>
      <w:r>
        <w:rPr>
          <w:rFonts w:hint="eastAsia" w:asciiTheme="minorEastAsia" w:hAnsiTheme="minorEastAsia" w:eastAsiaTheme="minorEastAsia" w:cstheme="minorEastAsia"/>
          <w:b/>
          <w:bCs/>
          <w:sz w:val="30"/>
          <w:szCs w:val="30"/>
        </w:rPr>
        <w:t>、有关建议</w:t>
      </w:r>
    </w:p>
    <w:p>
      <w:pPr>
        <w:spacing w:line="60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无</w:t>
      </w:r>
    </w:p>
    <w:p>
      <w:pPr>
        <w:numPr>
          <w:ilvl w:val="0"/>
          <w:numId w:val="3"/>
        </w:num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其他需要说明的问题</w:t>
      </w:r>
      <w:bookmarkStart w:id="0" w:name="_GoBack"/>
      <w:bookmarkEnd w:id="0"/>
    </w:p>
    <w:p>
      <w:pPr>
        <w:numPr>
          <w:ilvl w:val="0"/>
          <w:numId w:val="0"/>
        </w:numPr>
        <w:spacing w:line="600" w:lineRule="exact"/>
        <w:ind w:firstLine="900" w:firstLineChars="3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无</w:t>
      </w:r>
    </w:p>
    <w:p>
      <w:pPr>
        <w:widowControl/>
        <w:spacing w:line="600" w:lineRule="exac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报告应包括以下附件：</w:t>
      </w:r>
    </w:p>
    <w:p>
      <w:pPr>
        <w:widowControl/>
        <w:spacing w:line="600" w:lineRule="exact"/>
        <w:ind w:firstLine="645"/>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1、绩效评价基础数据汇总表</w:t>
      </w:r>
    </w:p>
    <w:p>
      <w:pPr>
        <w:widowControl/>
        <w:spacing w:line="600" w:lineRule="exact"/>
        <w:ind w:firstLine="645"/>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2、绩效评价指标评分表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00C2"/>
    <w:multiLevelType w:val="singleLevel"/>
    <w:tmpl w:val="A32B00C2"/>
    <w:lvl w:ilvl="0" w:tentative="0">
      <w:start w:val="2"/>
      <w:numFmt w:val="chineseCounting"/>
      <w:suff w:val="nothing"/>
      <w:lvlText w:val="%1、"/>
      <w:lvlJc w:val="left"/>
      <w:rPr>
        <w:rFonts w:hint="eastAsia"/>
      </w:rPr>
    </w:lvl>
  </w:abstractNum>
  <w:abstractNum w:abstractNumId="1">
    <w:nsid w:val="B33E974E"/>
    <w:multiLevelType w:val="singleLevel"/>
    <w:tmpl w:val="B33E974E"/>
    <w:lvl w:ilvl="0" w:tentative="0">
      <w:start w:val="7"/>
      <w:numFmt w:val="chineseCounting"/>
      <w:suff w:val="nothing"/>
      <w:lvlText w:val="%1、"/>
      <w:lvlJc w:val="left"/>
      <w:rPr>
        <w:rFonts w:hint="eastAsia"/>
      </w:rPr>
    </w:lvl>
  </w:abstractNum>
  <w:abstractNum w:abstractNumId="2">
    <w:nsid w:val="7C4C482A"/>
    <w:multiLevelType w:val="singleLevel"/>
    <w:tmpl w:val="7C4C482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jYyMWRjYTg1YTg5NGQyNWFmMTM3YjU4YjA2YTkifQ=="/>
  </w:docVars>
  <w:rsids>
    <w:rsidRoot w:val="41A17A8C"/>
    <w:rsid w:val="00840B55"/>
    <w:rsid w:val="0944191A"/>
    <w:rsid w:val="0C8F3E4C"/>
    <w:rsid w:val="33531979"/>
    <w:rsid w:val="40443D1D"/>
    <w:rsid w:val="41A17A8C"/>
    <w:rsid w:val="5F8048A6"/>
    <w:rsid w:val="7E7C6FF7"/>
    <w:rsid w:val="7EF2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1624</Characters>
  <Lines>0</Lines>
  <Paragraphs>0</Paragraphs>
  <TotalTime>2</TotalTime>
  <ScaleCrop>false</ScaleCrop>
  <LinksUpToDate>false</LinksUpToDate>
  <CharactersWithSpaces>1627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2022-08-24T02:35:00Z</dcterms:created>
  <dc:creator>Administrator</dc:creator>
  <cp:lastModifiedBy>dn</cp:lastModifiedBy>
  <dcterms:modified xsi:type="dcterms:W3CDTF">2022-08-31T08:43:53Z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BD5D1761C20A439E94DFBA9BB14A1F18</vt:lpwstr>
  </property>
</Properties>
</file>