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屈原管理区电力排灌总站</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ind w:firstLine="4901" w:firstLineChars="1356"/>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第一部分岳阳市屈原管理区电力排灌总站概况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default" w:cs="仿宋_GB2312" w:asciiTheme="minorEastAsia" w:hAnsiTheme="minorEastAsia" w:eastAsiaTheme="minorEastAsia"/>
          <w:sz w:val="28"/>
          <w:szCs w:val="28"/>
          <w:highlight w:val="none"/>
          <w:lang w:val="en-US" w:eastAsia="zh-CN"/>
        </w:rPr>
      </w:pPr>
      <w:r>
        <w:rPr>
          <w:rFonts w:cs="仿宋_GB2312" w:asciiTheme="minorEastAsia" w:hAnsiTheme="minorEastAsia" w:eastAsiaTheme="minorEastAsia"/>
          <w:sz w:val="28"/>
          <w:szCs w:val="28"/>
        </w:rPr>
        <w:t>二、</w:t>
      </w:r>
      <w:r>
        <w:rPr>
          <w:rFonts w:cs="仿宋_GB2312" w:asciiTheme="minorEastAsia" w:hAnsiTheme="minorEastAsia" w:eastAsiaTheme="minorEastAsia"/>
          <w:sz w:val="28"/>
          <w:szCs w:val="28"/>
          <w:highlight w:val="none"/>
        </w:rPr>
        <w:t>机构设置</w:t>
      </w:r>
      <w:r>
        <w:rPr>
          <w:rFonts w:hint="eastAsia" w:cs="仿宋_GB2312" w:asciiTheme="minorEastAsia" w:hAnsiTheme="minorEastAsia" w:eastAsiaTheme="minorEastAsia"/>
          <w:sz w:val="28"/>
          <w:szCs w:val="28"/>
          <w:highlight w:val="none"/>
          <w:lang w:val="en-US" w:eastAsia="zh-CN"/>
        </w:rPr>
        <w:t>及决算单位构成</w:t>
      </w:r>
    </w:p>
    <w:p>
      <w:pPr>
        <w:pStyle w:val="9"/>
        <w:spacing w:line="500" w:lineRule="exact"/>
        <w:rPr>
          <w:rFonts w:ascii="仿宋_GB2312" w:hAnsi="仿宋_GB2312" w:cs="仿宋_GB2312"/>
          <w:b/>
          <w:sz w:val="28"/>
          <w:szCs w:val="28"/>
          <w:highlight w:val="none"/>
        </w:rPr>
      </w:pPr>
      <w:r>
        <w:rPr>
          <w:rFonts w:hint="eastAsia" w:hAnsi="仿宋_GB2312"/>
          <w:b/>
          <w:sz w:val="28"/>
          <w:szCs w:val="28"/>
          <w:highlight w:val="none"/>
        </w:rPr>
        <w:t>第二部分</w:t>
      </w:r>
      <w:r>
        <w:rPr>
          <w:rFonts w:hAnsi="仿宋_GB2312"/>
          <w:b/>
          <w:sz w:val="28"/>
          <w:szCs w:val="28"/>
          <w:highlight w:val="none"/>
        </w:rPr>
        <w:t>20</w:t>
      </w:r>
      <w:r>
        <w:rPr>
          <w:rFonts w:hint="eastAsia" w:hAnsi="仿宋_GB2312"/>
          <w:b/>
          <w:sz w:val="28"/>
          <w:szCs w:val="28"/>
          <w:highlight w:val="none"/>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highlight w:val="none"/>
          <w:lang w:eastAsia="zh-CN"/>
        </w:rPr>
      </w:pPr>
      <w:r>
        <w:rPr>
          <w:rFonts w:hint="eastAsia" w:ascii="仿宋_GB2312" w:hAnsi="仿宋_GB2312" w:cs="仿宋_GB2312"/>
          <w:color w:val="000000"/>
          <w:kern w:val="0"/>
          <w:sz w:val="28"/>
          <w:szCs w:val="28"/>
          <w:highlight w:val="none"/>
        </w:rPr>
        <w:t>九</w:t>
      </w:r>
      <w:r>
        <w:rPr>
          <w:rFonts w:ascii="仿宋_GB2312" w:hAnsi="仿宋_GB2312" w:cs="仿宋_GB2312"/>
          <w:color w:val="000000"/>
          <w:kern w:val="0"/>
          <w:sz w:val="28"/>
          <w:szCs w:val="28"/>
          <w:highlight w:val="none"/>
        </w:rPr>
        <w:t>、</w:t>
      </w:r>
      <w:r>
        <w:rPr>
          <w:rFonts w:hint="eastAsia" w:cs="仿宋_GB2312" w:asciiTheme="minorEastAsia" w:hAnsiTheme="minorEastAsia" w:eastAsiaTheme="minorEastAsia"/>
          <w:sz w:val="28"/>
          <w:szCs w:val="28"/>
          <w:highlight w:val="none"/>
        </w:rPr>
        <w:t>国有资本经营预算财政拨款支出决算</w:t>
      </w:r>
      <w:r>
        <w:rPr>
          <w:rFonts w:hint="eastAsia" w:cs="仿宋_GB2312" w:asciiTheme="minorEastAsia" w:hAnsiTheme="minorEastAsia"/>
          <w:sz w:val="28"/>
          <w:szCs w:val="28"/>
          <w:highlight w:val="none"/>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r>
        <w:rPr>
          <w:rFonts w:hint="eastAsia"/>
          <w:sz w:val="84"/>
          <w:szCs w:val="84"/>
        </w:rPr>
        <w:t>屈原管理区</w:t>
      </w:r>
    </w:p>
    <w:p>
      <w:pPr>
        <w:pStyle w:val="9"/>
        <w:jc w:val="center"/>
        <w:rPr>
          <w:sz w:val="84"/>
          <w:szCs w:val="84"/>
        </w:rPr>
      </w:pPr>
      <w:r>
        <w:rPr>
          <w:rFonts w:hint="eastAsia"/>
          <w:sz w:val="84"/>
          <w:szCs w:val="84"/>
        </w:rPr>
        <w:t>电力排灌总站概况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Theme="minorEastAsia" w:hAnsiTheme="minorEastAsia"/>
          <w:b/>
          <w:sz w:val="30"/>
          <w:szCs w:val="30"/>
        </w:rPr>
      </w:pPr>
      <w:r>
        <w:rPr>
          <w:rFonts w:asciiTheme="minorEastAsia" w:hAnsiTheme="minorEastAsia"/>
          <w:b/>
          <w:sz w:val="30"/>
          <w:szCs w:val="30"/>
        </w:rPr>
        <w:t>部门职责</w:t>
      </w:r>
    </w:p>
    <w:p>
      <w:pPr>
        <w:ind w:left="210" w:leftChars="100"/>
        <w:jc w:val="left"/>
        <w:rPr>
          <w:rFonts w:cs="宋体" w:asciiTheme="minorEastAsia" w:hAnsiTheme="minorEastAsia"/>
          <w:color w:val="2B2B2B"/>
          <w:kern w:val="0"/>
          <w:sz w:val="30"/>
          <w:szCs w:val="30"/>
        </w:rPr>
      </w:pPr>
      <w:r>
        <w:rPr>
          <w:rFonts w:hint="eastAsia" w:asciiTheme="minorEastAsia" w:hAnsiTheme="minorEastAsia"/>
          <w:sz w:val="30"/>
          <w:szCs w:val="30"/>
        </w:rPr>
        <w:t>（一）</w:t>
      </w:r>
      <w:r>
        <w:rPr>
          <w:rFonts w:hint="eastAsia" w:cs="宋体" w:asciiTheme="minorEastAsia" w:hAnsiTheme="minorEastAsia"/>
          <w:color w:val="2B2B2B"/>
          <w:kern w:val="0"/>
          <w:sz w:val="30"/>
          <w:szCs w:val="30"/>
        </w:rPr>
        <w:t>为农村水利建设提供服务，负责垸内渍雨面积的排涝、农田灌溉及水</w:t>
      </w:r>
    </w:p>
    <w:p>
      <w:pPr>
        <w:ind w:left="210" w:leftChars="100" w:firstLine="150" w:firstLineChars="50"/>
        <w:jc w:val="left"/>
        <w:rPr>
          <w:rFonts w:cs="宋体" w:asciiTheme="minorEastAsia" w:hAnsiTheme="minorEastAsia"/>
          <w:color w:val="2B2B2B"/>
          <w:kern w:val="0"/>
          <w:sz w:val="30"/>
          <w:szCs w:val="30"/>
        </w:rPr>
      </w:pPr>
      <w:r>
        <w:rPr>
          <w:rFonts w:hint="eastAsia" w:cs="宋体" w:asciiTheme="minorEastAsia" w:hAnsiTheme="minorEastAsia"/>
          <w:color w:val="2B2B2B"/>
          <w:kern w:val="0"/>
          <w:sz w:val="30"/>
          <w:szCs w:val="30"/>
        </w:rPr>
        <w:t>系调度，确保农业丰产丰收。</w:t>
      </w:r>
    </w:p>
    <w:p>
      <w:pPr>
        <w:widowControl/>
        <w:spacing w:line="360" w:lineRule="auto"/>
        <w:ind w:left="210" w:leftChars="100"/>
        <w:jc w:val="left"/>
        <w:rPr>
          <w:rFonts w:cs="宋体" w:asciiTheme="minorEastAsia" w:hAnsiTheme="minorEastAsia"/>
          <w:color w:val="2B2B2B"/>
          <w:kern w:val="0"/>
          <w:sz w:val="30"/>
          <w:szCs w:val="30"/>
        </w:rPr>
      </w:pPr>
      <w:r>
        <w:rPr>
          <w:rFonts w:hint="eastAsia" w:asciiTheme="minorEastAsia" w:hAnsiTheme="minorEastAsia"/>
          <w:sz w:val="30"/>
          <w:szCs w:val="30"/>
        </w:rPr>
        <w:t>（二）</w:t>
      </w:r>
      <w:r>
        <w:rPr>
          <w:rFonts w:hint="eastAsia" w:cs="宋体" w:asciiTheme="minorEastAsia" w:hAnsiTheme="minorEastAsia"/>
          <w:color w:val="2B2B2B"/>
          <w:kern w:val="0"/>
          <w:sz w:val="30"/>
          <w:szCs w:val="30"/>
        </w:rPr>
        <w:t>负责对9处外排机埠、32处配套内修涵闸的运行管理及维护。</w:t>
      </w:r>
    </w:p>
    <w:p>
      <w:pPr>
        <w:widowControl/>
        <w:spacing w:line="360" w:lineRule="auto"/>
        <w:jc w:val="left"/>
        <w:rPr>
          <w:rFonts w:cs="宋体" w:asciiTheme="minorEastAsia" w:hAnsiTheme="minorEastAsia"/>
          <w:color w:val="2B2B2B"/>
          <w:kern w:val="0"/>
          <w:sz w:val="30"/>
          <w:szCs w:val="30"/>
        </w:rPr>
      </w:pPr>
      <w:r>
        <w:rPr>
          <w:rFonts w:hint="eastAsia" w:cs="宋体" w:asciiTheme="minorEastAsia" w:hAnsiTheme="minorEastAsia"/>
          <w:color w:val="2B2B2B"/>
          <w:kern w:val="0"/>
          <w:sz w:val="30"/>
          <w:szCs w:val="30"/>
        </w:rPr>
        <w:t> </w:t>
      </w:r>
    </w:p>
    <w:p>
      <w:pPr>
        <w:widowControl/>
        <w:spacing w:line="360" w:lineRule="auto"/>
        <w:jc w:val="left"/>
        <w:rPr>
          <w:rFonts w:cs="宋体" w:asciiTheme="minorEastAsia" w:hAnsiTheme="minorEastAsia"/>
          <w:color w:val="2B2B2B"/>
          <w:kern w:val="0"/>
          <w:sz w:val="30"/>
          <w:szCs w:val="30"/>
        </w:rPr>
      </w:pPr>
      <w:r>
        <w:rPr>
          <w:rFonts w:hint="eastAsia" w:asciiTheme="minorEastAsia" w:hAnsiTheme="minorEastAsia"/>
          <w:b/>
          <w:bCs/>
          <w:kern w:val="0"/>
          <w:sz w:val="30"/>
          <w:szCs w:val="30"/>
        </w:rPr>
        <w:t>二、机构设置及决算单位构成</w:t>
      </w:r>
    </w:p>
    <w:p>
      <w:pPr>
        <w:widowControl/>
        <w:spacing w:line="600" w:lineRule="exact"/>
        <w:ind w:firstLine="150" w:firstLineChars="50"/>
        <w:rPr>
          <w:rFonts w:hint="eastAsia" w:ascii="宋体" w:hAnsi="宋体" w:eastAsia="宋体" w:cs="宋体"/>
          <w:bCs/>
          <w:kern w:val="0"/>
          <w:sz w:val="30"/>
          <w:szCs w:val="30"/>
        </w:rPr>
      </w:pPr>
      <w:r>
        <w:rPr>
          <w:rFonts w:hint="eastAsia" w:ascii="宋体" w:hAnsi="宋体" w:eastAsia="宋体" w:cs="宋体"/>
          <w:bCs/>
          <w:kern w:val="0"/>
          <w:sz w:val="30"/>
          <w:szCs w:val="30"/>
        </w:rPr>
        <w:t>（一）内设机构设置</w:t>
      </w:r>
    </w:p>
    <w:p>
      <w:pPr>
        <w:widowControl/>
        <w:spacing w:line="600" w:lineRule="exact"/>
        <w:ind w:left="420" w:leftChars="200" w:firstLine="640" w:firstLineChars="200"/>
        <w:rPr>
          <w:rFonts w:hint="eastAsia" w:ascii="宋体" w:hAnsi="宋体" w:eastAsia="宋体" w:cs="宋体"/>
          <w:sz w:val="32"/>
          <w:szCs w:val="32"/>
        </w:rPr>
      </w:pPr>
      <w:r>
        <w:rPr>
          <w:rFonts w:hint="eastAsia" w:ascii="宋体" w:hAnsi="宋体" w:eastAsia="宋体" w:cs="宋体"/>
          <w:sz w:val="32"/>
          <w:szCs w:val="32"/>
        </w:rPr>
        <w:t>区电力排灌总站</w:t>
      </w:r>
      <w:r>
        <w:rPr>
          <w:rFonts w:hint="eastAsia" w:ascii="宋体" w:hAnsi="宋体" w:eastAsia="宋体" w:cs="宋体"/>
          <w:kern w:val="0"/>
          <w:sz w:val="32"/>
          <w:szCs w:val="32"/>
        </w:rPr>
        <w:t>系水利局下属独立核算的二级机构</w:t>
      </w:r>
      <w:r>
        <w:rPr>
          <w:rFonts w:hint="eastAsia" w:ascii="宋体" w:hAnsi="宋体" w:eastAsia="宋体" w:cs="宋体"/>
          <w:kern w:val="0"/>
          <w:sz w:val="32"/>
          <w:szCs w:val="32"/>
          <w:lang w:eastAsia="zh-CN"/>
        </w:rPr>
        <w:t>，</w:t>
      </w:r>
      <w:r>
        <w:rPr>
          <w:rFonts w:hint="eastAsia" w:ascii="宋体" w:hAnsi="宋体" w:eastAsia="宋体" w:cs="宋体"/>
          <w:sz w:val="32"/>
          <w:szCs w:val="32"/>
        </w:rPr>
        <w:t>为副科级公益类事业单位，核定差额拨款事业编制51名；核定领导职数1名，其中主任1名。主要负责全区电力排灌工程的管理及养护；负责垸内水系调度，执行区防汛抗旱指挥部命令，搞好垸内排涝抗旱工作，确保农业丰产丰收；负责完成区水利局交办的其他工作。</w:t>
      </w:r>
    </w:p>
    <w:p>
      <w:pPr>
        <w:widowControl/>
        <w:spacing w:line="600" w:lineRule="exact"/>
        <w:ind w:left="420" w:leftChars="200"/>
        <w:rPr>
          <w:rFonts w:cs="宋体" w:asciiTheme="minorEastAsia" w:hAnsiTheme="minorEastAsia"/>
          <w:kern w:val="0"/>
          <w:sz w:val="30"/>
          <w:szCs w:val="30"/>
        </w:rPr>
      </w:pPr>
    </w:p>
    <w:p>
      <w:pPr>
        <w:widowControl/>
        <w:spacing w:line="600" w:lineRule="exact"/>
        <w:ind w:firstLine="150" w:firstLineChars="50"/>
        <w:rPr>
          <w:rFonts w:asciiTheme="minorEastAsia" w:hAnsiTheme="minorEastAsia"/>
          <w:bCs/>
          <w:kern w:val="0"/>
          <w:sz w:val="30"/>
          <w:szCs w:val="30"/>
        </w:rPr>
      </w:pPr>
      <w:r>
        <w:rPr>
          <w:rFonts w:hint="eastAsia" w:asciiTheme="minorEastAsia" w:hAnsiTheme="minorEastAsia"/>
          <w:bCs/>
          <w:kern w:val="0"/>
          <w:sz w:val="30"/>
          <w:szCs w:val="30"/>
        </w:rPr>
        <w:t>（二）决算单位构成</w:t>
      </w:r>
    </w:p>
    <w:p>
      <w:pPr>
        <w:widowControl/>
        <w:spacing w:line="600" w:lineRule="exact"/>
        <w:ind w:firstLine="450" w:firstLineChars="150"/>
        <w:rPr>
          <w:rFonts w:asciiTheme="minorEastAsia" w:hAnsiTheme="minorEastAsia"/>
          <w:bCs/>
          <w:kern w:val="0"/>
          <w:sz w:val="30"/>
          <w:szCs w:val="30"/>
        </w:rPr>
      </w:pPr>
      <w:r>
        <w:rPr>
          <w:rFonts w:hint="eastAsia" w:asciiTheme="minorEastAsia" w:hAnsiTheme="minorEastAsia"/>
          <w:bCs/>
          <w:kern w:val="0"/>
          <w:sz w:val="30"/>
          <w:szCs w:val="30"/>
        </w:rPr>
        <w:t>电力排灌总站</w:t>
      </w:r>
      <w:r>
        <w:rPr>
          <w:rFonts w:asciiTheme="minorEastAsia" w:hAnsiTheme="minorEastAsia"/>
          <w:bCs/>
          <w:kern w:val="0"/>
          <w:sz w:val="30"/>
          <w:szCs w:val="30"/>
        </w:rPr>
        <w:t>20</w:t>
      </w:r>
      <w:r>
        <w:rPr>
          <w:rFonts w:hint="eastAsia" w:asciiTheme="minorEastAsia" w:hAnsiTheme="minorEastAsia"/>
          <w:bCs/>
          <w:kern w:val="0"/>
          <w:sz w:val="30"/>
          <w:szCs w:val="30"/>
        </w:rPr>
        <w:t>21年部门决算汇总公开单位构成包括：电力排灌总站</w:t>
      </w:r>
    </w:p>
    <w:p>
      <w:pPr>
        <w:widowControl/>
        <w:spacing w:line="600" w:lineRule="exact"/>
        <w:ind w:firstLine="450" w:firstLineChars="150"/>
        <w:rPr>
          <w:rFonts w:asciiTheme="minorEastAsia" w:hAnsiTheme="minorEastAsia"/>
          <w:bCs/>
          <w:kern w:val="0"/>
          <w:sz w:val="30"/>
          <w:szCs w:val="30"/>
        </w:rPr>
      </w:pPr>
      <w:r>
        <w:rPr>
          <w:rFonts w:hint="eastAsia" w:asciiTheme="minorEastAsia" w:hAnsiTheme="minorEastAsia"/>
          <w:bCs/>
          <w:kern w:val="0"/>
          <w:sz w:val="30"/>
          <w:szCs w:val="30"/>
        </w:rPr>
        <w:t>本级。</w:t>
      </w: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岳阳市屈原管理区电力排灌总站</w:t>
            </w:r>
          </w:p>
        </w:tc>
        <w:tc>
          <w:tcPr>
            <w:tcW w:w="697"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600.61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1.72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598.88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0" w:type="auto"/>
        <w:tblInd w:w="0" w:type="dxa"/>
        <w:tblLayout w:type="autofit"/>
        <w:tblCellMar>
          <w:top w:w="0" w:type="dxa"/>
          <w:left w:w="0" w:type="dxa"/>
          <w:bottom w:w="0" w:type="dxa"/>
          <w:right w:w="0" w:type="dxa"/>
        </w:tblCellMar>
      </w:tblPr>
      <w:tblGrid>
        <w:gridCol w:w="855"/>
        <w:gridCol w:w="855"/>
        <w:gridCol w:w="2830"/>
        <w:gridCol w:w="1290"/>
        <w:gridCol w:w="1290"/>
        <w:gridCol w:w="1290"/>
        <w:gridCol w:w="870"/>
        <w:gridCol w:w="870"/>
        <w:gridCol w:w="1710"/>
        <w:gridCol w:w="1030"/>
      </w:tblGrid>
      <w:tr>
        <w:tblPrEx>
          <w:tblCellMar>
            <w:top w:w="0" w:type="dxa"/>
            <w:left w:w="0" w:type="dxa"/>
            <w:bottom w:w="0" w:type="dxa"/>
            <w:right w:w="0" w:type="dxa"/>
          </w:tblCellMar>
        </w:tblPrEx>
        <w:trPr>
          <w:trHeight w:val="435" w:hRule="atLeast"/>
        </w:trPr>
        <w:tc>
          <w:tcPr>
            <w:tcW w:w="0" w:type="auto"/>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color w:val="000000"/>
                <w:sz w:val="20"/>
                <w:szCs w:val="20"/>
              </w:rPr>
            </w:pPr>
            <w:r>
              <w:rPr>
                <w:rFonts w:hint="eastAsia" w:asciiTheme="minorEastAsia" w:hAnsiTheme="minor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tcPr>
          <w:p>
            <w:pP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tcPr>
          <w:p>
            <w:pPr>
              <w:rPr>
                <w:rFonts w:asciiTheme="minorEastAsia" w:hAnsiTheme="minorEastAsia"/>
              </w:rPr>
            </w:pPr>
            <w:r>
              <w:rPr>
                <w:rFonts w:hint="eastAsia" w:cs="宋体" w:asciiTheme="minorEastAsia" w:hAnsiTheme="minorEastAsia"/>
                <w:color w:val="000000"/>
                <w:kern w:val="0"/>
                <w:sz w:val="20"/>
                <w:szCs w:val="20"/>
              </w:rPr>
              <w:t>岳阳市屈原管理区电力排灌总站</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color w:val="000000"/>
                <w:sz w:val="20"/>
                <w:szCs w:val="20"/>
              </w:rPr>
            </w:pPr>
            <w:r>
              <w:rPr>
                <w:rFonts w:hint="eastAsia" w:asciiTheme="minorEastAsia" w:hAnsiTheme="minorEastAsia"/>
                <w:color w:val="000000"/>
                <w:sz w:val="20"/>
                <w:szCs w:val="20"/>
              </w:rPr>
              <w:t>单位：万元</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项    目</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本年收入合计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财政拨款收入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上级补助收入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事业收入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经营收入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附属单位上缴收入</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其他收入</w:t>
            </w:r>
          </w:p>
        </w:tc>
      </w:tr>
      <w:tr>
        <w:tblPrEx>
          <w:tblCellMar>
            <w:top w:w="0" w:type="dxa"/>
            <w:left w:w="0" w:type="dxa"/>
            <w:bottom w:w="0" w:type="dxa"/>
            <w:right w:w="0" w:type="dxa"/>
          </w:tblCellMar>
        </w:tblPrEx>
        <w:trPr>
          <w:trHeight w:val="45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功能分类科目编码</w:t>
            </w:r>
          </w:p>
        </w:tc>
        <w:tc>
          <w:tcPr>
            <w:tcW w:w="0" w:type="auto"/>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600.61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600.61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1.72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1.72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20129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群众团体事务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1.72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1.72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2012906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工会事务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1.72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1.72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598.88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598.88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21303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水利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598.88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598.88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2130304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heme="minorEastAsia" w:hAnsiTheme="minorEastAsia"/>
              </w:rPr>
            </w:pPr>
            <w:r>
              <w:rPr>
                <w:rFonts w:hint="eastAsia" w:asciiTheme="minorEastAsia" w:hAnsiTheme="minorEastAsia"/>
              </w:rPr>
              <w:t>水利行业业务管理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508.06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508.06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2130314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heme="minorEastAsia" w:hAnsiTheme="minorEastAsia"/>
              </w:rPr>
            </w:pPr>
            <w:r>
              <w:rPr>
                <w:rFonts w:hint="eastAsia" w:asciiTheme="minorEastAsia" w:hAnsiTheme="minorEastAsia"/>
              </w:rPr>
              <w:t>防汛</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39.73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39.73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2130316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　农田水利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39.6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39.6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rPr>
            </w:pPr>
            <w:r>
              <w:rPr>
                <w:rFonts w:hint="eastAsia" w:asciiTheme="minorEastAsia" w:hAnsiTheme="minorEastAsia"/>
              </w:rPr>
              <w:t>2130399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heme="minorEastAsia" w:hAnsiTheme="minorEastAsia"/>
              </w:rPr>
            </w:pPr>
            <w:r>
              <w:rPr>
                <w:rFonts w:hint="eastAsia" w:asciiTheme="minorEastAsia" w:hAnsiTheme="minorEastAsia"/>
              </w:rPr>
              <w:t>其他水利支出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11.49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r>
              <w:rPr>
                <w:rFonts w:hint="eastAsia" w:asciiTheme="minorEastAsia" w:hAnsiTheme="minorEastAsia"/>
              </w:rPr>
              <w:t>11.49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615" w:hRule="atLeast"/>
        </w:trPr>
        <w:tc>
          <w:tcPr>
            <w:tcW w:w="0" w:type="auto"/>
            <w:gridSpan w:val="10"/>
            <w:tcBorders>
              <w:top w:val="nil"/>
              <w:left w:val="nil"/>
              <w:bottom w:val="nil"/>
              <w:right w:val="nil"/>
            </w:tcBorders>
            <w:shd w:val="clear" w:color="auto" w:fill="auto"/>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注：本表反映部门本年度取得的各项收入情况。</w:t>
            </w:r>
          </w:p>
        </w:tc>
      </w:tr>
    </w:tbl>
    <w:p>
      <w:pPr>
        <w:widowControl/>
        <w:jc w:val="left"/>
        <w:rPr>
          <w:rFonts w:cs="Times New Roman" w:asciiTheme="minorEastAsia" w:hAnsiTheme="minorEastAsia"/>
          <w:bCs/>
          <w:kern w:val="0"/>
          <w:sz w:val="32"/>
          <w:szCs w:val="32"/>
        </w:rPr>
      </w:pPr>
      <w:r>
        <w:rPr>
          <w:rFonts w:cs="Times New Roman" w:asciiTheme="minorEastAsia" w:hAnsiTheme="minorEastAsia"/>
          <w:bCs/>
          <w:kern w:val="0"/>
          <w:sz w:val="32"/>
          <w:szCs w:val="32"/>
        </w:rPr>
        <w:t xml:space="preserve"> </w:t>
      </w:r>
      <w:r>
        <w:rPr>
          <w:rFonts w:cs="Times New Roman" w:asciiTheme="minorEastAsia" w:hAnsiTheme="minorEastAsia"/>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97" w:type="dxa"/>
        <w:tblInd w:w="93" w:type="dxa"/>
        <w:tblLayout w:type="autofit"/>
        <w:tblCellMar>
          <w:top w:w="0" w:type="dxa"/>
          <w:left w:w="108" w:type="dxa"/>
          <w:bottom w:w="0" w:type="dxa"/>
          <w:right w:w="108" w:type="dxa"/>
        </w:tblCellMar>
      </w:tblPr>
      <w:tblGrid>
        <w:gridCol w:w="1042"/>
        <w:gridCol w:w="222"/>
        <w:gridCol w:w="14"/>
        <w:gridCol w:w="1249"/>
        <w:gridCol w:w="1174"/>
        <w:gridCol w:w="472"/>
        <w:gridCol w:w="662"/>
        <w:gridCol w:w="1017"/>
        <w:gridCol w:w="259"/>
        <w:gridCol w:w="1406"/>
        <w:gridCol w:w="14"/>
        <w:gridCol w:w="1665"/>
        <w:gridCol w:w="14"/>
        <w:gridCol w:w="1665"/>
        <w:gridCol w:w="14"/>
        <w:gridCol w:w="2294"/>
        <w:gridCol w:w="14"/>
      </w:tblGrid>
      <w:tr>
        <w:tblPrEx>
          <w:tblCellMar>
            <w:top w:w="0" w:type="dxa"/>
            <w:left w:w="108" w:type="dxa"/>
            <w:bottom w:w="0" w:type="dxa"/>
            <w:right w:w="108" w:type="dxa"/>
          </w:tblCellMar>
        </w:tblPrEx>
        <w:trPr>
          <w:gridAfter w:val="1"/>
          <w:wAfter w:w="14" w:type="dxa"/>
          <w:trHeight w:val="435" w:hRule="atLeast"/>
        </w:trPr>
        <w:tc>
          <w:tcPr>
            <w:tcW w:w="13183" w:type="dxa"/>
            <w:gridSpan w:val="1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4173" w:type="dxa"/>
            <w:gridSpan w:val="6"/>
            <w:tcBorders>
              <w:top w:val="nil"/>
              <w:left w:val="nil"/>
              <w:bottom w:val="nil"/>
              <w:right w:val="nil"/>
            </w:tcBorders>
            <w:shd w:val="clear" w:color="000000" w:fill="FFFFFF"/>
            <w:noWrap/>
          </w:tcPr>
          <w:p>
            <w:r>
              <w:rPr>
                <w:rFonts w:hint="eastAsia" w:ascii="宋体" w:hAnsi="宋体" w:eastAsia="宋体" w:cs="宋体"/>
                <w:color w:val="000000"/>
                <w:kern w:val="0"/>
                <w:sz w:val="20"/>
                <w:szCs w:val="20"/>
              </w:rPr>
              <w:t>部门：岳阳市屈原管理区电力排灌总站</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4" w:type="dxa"/>
          <w:trHeight w:val="450" w:hRule="atLeast"/>
        </w:trPr>
        <w:tc>
          <w:tcPr>
            <w:tcW w:w="370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4"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37"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3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3701"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3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0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14" w:type="dxa"/>
          <w:trHeight w:val="450" w:hRule="atLeast"/>
        </w:trPr>
        <w:tc>
          <w:tcPr>
            <w:tcW w:w="3701"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600.61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600.61　</w:t>
            </w:r>
          </w:p>
        </w:tc>
        <w:tc>
          <w:tcPr>
            <w:tcW w:w="14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一般公共服务支出</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1.72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1．72　</w:t>
            </w:r>
          </w:p>
        </w:tc>
        <w:tc>
          <w:tcPr>
            <w:tcW w:w="14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20129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群众团体事务</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1.72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1.72　</w:t>
            </w:r>
          </w:p>
        </w:tc>
        <w:tc>
          <w:tcPr>
            <w:tcW w:w="14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2012906　</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工会事务</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1.72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1.72　</w:t>
            </w:r>
          </w:p>
        </w:tc>
        <w:tc>
          <w:tcPr>
            <w:tcW w:w="14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　</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农林水支出</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598.88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598.88　</w:t>
            </w:r>
          </w:p>
        </w:tc>
        <w:tc>
          <w:tcPr>
            <w:tcW w:w="14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21303</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水利</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598.88</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598.88</w:t>
            </w:r>
          </w:p>
        </w:tc>
        <w:tc>
          <w:tcPr>
            <w:tcW w:w="14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2130304</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水利行业管理业务</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508.06</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508.06</w:t>
            </w:r>
          </w:p>
        </w:tc>
        <w:tc>
          <w:tcPr>
            <w:tcW w:w="14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2130314</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防汛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39.73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39.73　</w:t>
            </w:r>
          </w:p>
        </w:tc>
        <w:tc>
          <w:tcPr>
            <w:tcW w:w="14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2130316</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农田水利</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39.6</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39.6</w:t>
            </w:r>
          </w:p>
        </w:tc>
        <w:tc>
          <w:tcPr>
            <w:tcW w:w="14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2130399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其他水利支出</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11.49</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11.49</w:t>
            </w:r>
          </w:p>
        </w:tc>
        <w:tc>
          <w:tcPr>
            <w:tcW w:w="140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630" w:hRule="atLeast"/>
        </w:trPr>
        <w:tc>
          <w:tcPr>
            <w:tcW w:w="13183" w:type="dxa"/>
            <w:gridSpan w:val="16"/>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ind w:firstLine="5760" w:firstLineChars="1800"/>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部门：岳阳市屈原管理区电力排灌总站</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600.61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598.88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岳阳市屈原管理区电力排灌总站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73"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600.61</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600.61</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20129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rPr>
              <w:t>群众团体事务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5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2012906</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工会事务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3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农林水支出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598.88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598.88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51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21303</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水利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598.88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598.88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2130304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水利行业管理业务</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508.06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508.06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2130314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防汛</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39.73</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39.73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3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2130316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农田水利</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2130399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其他水利支出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11.49</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11.49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1335"/>
        <w:gridCol w:w="3168"/>
        <w:gridCol w:w="953"/>
        <w:gridCol w:w="1260"/>
        <w:gridCol w:w="2181"/>
        <w:gridCol w:w="803"/>
        <w:gridCol w:w="1100"/>
        <w:gridCol w:w="3909"/>
        <w:gridCol w:w="905"/>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岳阳市屈原管理区电力排灌总站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ind w:right="315"/>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544.47</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56.14</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270.73</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2.29</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0.18</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4.69</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77.46</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0.08</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43.41</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31.43</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20.68</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14.92</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0.2</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46.92</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24.03</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34.06</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1.13</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1.47</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0.2</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4.92</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4.44</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9.53</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1.2</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3.05</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3.6</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544.47</w:t>
            </w:r>
          </w:p>
        </w:tc>
        <w:tc>
          <w:tcPr>
            <w:tcW w:w="925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56.14</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岳阳市屈原管理区电力排灌总站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3.25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3.05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3.05</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岳阳市屈原管理区电力排灌总站</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eastAsia="zh-CN"/>
        </w:rPr>
        <w:t>区电力排灌总站</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620"/>
        <w:gridCol w:w="663"/>
        <w:gridCol w:w="284"/>
        <w:gridCol w:w="142"/>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10"/>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2283"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4"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268"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部门：岳阳市屈原管理区电力排灌总站</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5"/>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4"/>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5"/>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5"/>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4"/>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10"/>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 xml:space="preserve">    </w:t>
            </w:r>
            <w:r>
              <w:rPr>
                <w:rFonts w:hint="eastAsia" w:ascii="宋体" w:eastAsia="宋体" w:cs="宋体"/>
                <w:kern w:val="0"/>
                <w:sz w:val="24"/>
                <w:szCs w:val="24"/>
                <w:lang w:eastAsia="zh-CN"/>
              </w:rPr>
              <w:t>（说明：区电力排灌总站没有国有资本经营支出，故本表无数据）</w:t>
            </w:r>
          </w:p>
          <w:p>
            <w:pPr>
              <w:widowControl/>
              <w:jc w:val="left"/>
              <w:rPr>
                <w:rFonts w:hint="default" w:ascii="宋体" w:hAnsi="宋体" w:eastAsia="宋体" w:cs="宋体"/>
                <w:kern w:val="0"/>
                <w:sz w:val="24"/>
                <w:szCs w:val="24"/>
                <w:lang w:val="en-US" w:eastAsia="zh-CN"/>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keepNext w:val="0"/>
        <w:keepLines w:val="0"/>
        <w:widowControl/>
        <w:suppressLineNumbers w:val="0"/>
        <w:ind w:firstLine="620" w:firstLineChars="200"/>
        <w:jc w:val="left"/>
      </w:pPr>
      <w:r>
        <w:rPr>
          <w:rFonts w:hint="eastAsia" w:ascii="宋体" w:hAnsi="宋体" w:eastAsia="宋体" w:cs="宋体"/>
          <w:color w:val="000000"/>
          <w:kern w:val="0"/>
          <w:sz w:val="31"/>
          <w:szCs w:val="31"/>
          <w:lang w:val="en-US" w:eastAsia="zh-CN" w:bidi="ar"/>
        </w:rPr>
        <w:t>2021年度收、支总计600.61万元。与上年相比，</w:t>
      </w:r>
      <w:r>
        <w:rPr>
          <w:rFonts w:hint="eastAsia" w:asciiTheme="minorEastAsia" w:hAnsiTheme="minorEastAsia" w:eastAsiaTheme="minorEastAsia"/>
          <w:sz w:val="32"/>
          <w:szCs w:val="32"/>
        </w:rPr>
        <w:t>减少10.27万元，减少1.68%，主要是因为人员经费支出的减少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2021年度收入合计600.61万元，其中：财政拨款收入600.61万元，占100%；上级补助收入0万元，占0%；事业收入0万元，占0%；经营收入0万元，占0%；附属单位上缴收入0万元，占0%；其他收入0万元，占0%。</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2021年度支出合计600.61万元，其中：基本支出600.61万元，占100%；项目支出0万元，占0%；上缴上级支出0万元，占0%；经营支出0万元，占0%；对附属单位补助支出0万元，占0%。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keepNext w:val="0"/>
        <w:keepLines w:val="0"/>
        <w:widowControl/>
        <w:suppressLineNumbers w:val="0"/>
        <w:ind w:firstLine="620" w:firstLineChars="200"/>
        <w:jc w:val="left"/>
        <w:rPr>
          <w:rFonts w:hint="eastAsia" w:eastAsiaTheme="minorEastAsia"/>
          <w:lang w:eastAsia="zh-CN"/>
        </w:rPr>
      </w:pPr>
      <w:r>
        <w:rPr>
          <w:rFonts w:hint="eastAsia" w:ascii="宋体" w:hAnsi="宋体" w:eastAsia="宋体" w:cs="宋体"/>
          <w:color w:val="000000"/>
          <w:kern w:val="0"/>
          <w:sz w:val="31"/>
          <w:szCs w:val="31"/>
          <w:lang w:val="en-US" w:eastAsia="zh-CN" w:bidi="ar"/>
        </w:rPr>
        <w:t>2021年度财政拨款收、支总计</w:t>
      </w:r>
      <w:r>
        <w:rPr>
          <w:rFonts w:hint="eastAsia" w:asciiTheme="minorEastAsia" w:hAnsiTheme="minorEastAsia" w:eastAsiaTheme="minorEastAsia"/>
          <w:sz w:val="32"/>
          <w:szCs w:val="32"/>
        </w:rPr>
        <w:t>600.61</w:t>
      </w:r>
      <w:r>
        <w:rPr>
          <w:rFonts w:hint="eastAsia" w:ascii="宋体" w:hAnsi="宋体" w:eastAsia="宋体" w:cs="宋体"/>
          <w:color w:val="000000"/>
          <w:kern w:val="0"/>
          <w:sz w:val="31"/>
          <w:szCs w:val="31"/>
          <w:lang w:val="en-US" w:eastAsia="zh-CN" w:bidi="ar"/>
        </w:rPr>
        <w:t>万元，</w:t>
      </w:r>
      <w:r>
        <w:rPr>
          <w:rFonts w:hint="eastAsia" w:asciiTheme="minorEastAsia" w:hAnsiTheme="minorEastAsia" w:eastAsiaTheme="minorEastAsia"/>
          <w:sz w:val="32"/>
          <w:szCs w:val="32"/>
        </w:rPr>
        <w:t>与上年相比，减少10.27万元,减少1.68%，主要是因为人员经费支出的减少</w:t>
      </w:r>
      <w:r>
        <w:rPr>
          <w:rFonts w:hint="eastAsia" w:asciiTheme="minorEastAsia" w:hAnsiTheme="minorEastAsia"/>
          <w:sz w:val="32"/>
          <w:szCs w:val="32"/>
          <w:lang w:eastAsia="zh-CN"/>
        </w:rPr>
        <w:t>。</w:t>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2021年度财政拨款支出600.61万元，占本年支出合计的100%，与上年相比，财政拨款支出减少10.27万元，减少1.68%，主要是因为人员经费支出的减少。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2021年度财政拨款支出600.61万元，主要用于以下方面：一般公共服务（类）支出1.72万元，占0.29%；农林水（类）支出598.88万元，占99.71%。</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2021年度财政拨款支出年初预算数为761.05万元，支出决算数为600.61万元，完成年初预算的79%，其中：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1、2012906一般公共服务（类）群众团体事务（款）工会事务（项）。</w:t>
      </w:r>
    </w:p>
    <w:p>
      <w:pPr>
        <w:keepNext w:val="0"/>
        <w:keepLines w:val="0"/>
        <w:widowControl/>
        <w:suppressLineNumbers w:val="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年初预算为0万元，支出决算为1.72万元，</w:t>
      </w:r>
      <w:r>
        <w:rPr>
          <w:rFonts w:hint="eastAsia" w:ascii="宋体" w:hAnsi="宋体" w:eastAsia="宋体" w:cs="宋体"/>
          <w:color w:val="000000"/>
          <w:kern w:val="0"/>
          <w:sz w:val="31"/>
          <w:szCs w:val="31"/>
          <w:lang w:val="en-US" w:eastAsia="zh-CN" w:bidi="ar"/>
        </w:rPr>
        <w:t>因预算金额为0，无法计算超预算百分比，</w:t>
      </w:r>
      <w:r>
        <w:rPr>
          <w:rFonts w:hint="eastAsia" w:asciiTheme="minorEastAsia" w:hAnsiTheme="minorEastAsia" w:eastAsiaTheme="minorEastAsia"/>
          <w:sz w:val="32"/>
          <w:szCs w:val="32"/>
        </w:rPr>
        <w:t>决算数大于小于年初预算数的主要原因是：资金支出类型调整。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2、2130304农林水支出（类）水利（款）水利行业管理业务（项）。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年初预算为703.07万元，支出决算为508.06万元，完成年初预算的72.3%，决算数小于年初预算数的主要原因是：资金支出类型调整。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3、2130314农林水支出（类）水利（款）防汛（项）。</w:t>
      </w:r>
    </w:p>
    <w:p>
      <w:pPr>
        <w:keepNext w:val="0"/>
        <w:keepLines w:val="0"/>
        <w:widowControl/>
        <w:suppressLineNumbers w:val="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年初预算为0万元，支出决算为39.73万元，</w:t>
      </w:r>
      <w:r>
        <w:rPr>
          <w:rFonts w:hint="eastAsia" w:ascii="宋体" w:hAnsi="宋体" w:eastAsia="宋体" w:cs="宋体"/>
          <w:color w:val="000000"/>
          <w:kern w:val="0"/>
          <w:sz w:val="31"/>
          <w:szCs w:val="31"/>
          <w:lang w:val="en-US" w:eastAsia="zh-CN" w:bidi="ar"/>
        </w:rPr>
        <w:t>因预算金额为0，无法计算超预算百分比，</w:t>
      </w:r>
      <w:r>
        <w:rPr>
          <w:rFonts w:hint="eastAsia" w:asciiTheme="minorEastAsia" w:hAnsiTheme="minorEastAsia" w:eastAsiaTheme="minorEastAsia"/>
          <w:sz w:val="32"/>
          <w:szCs w:val="32"/>
        </w:rPr>
        <w:t>决算数大于年初预算数的主要原因是：天气原因增加了防汛支出。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4、2130316农林水支出（类）水利（款）2130316农村水利（项）。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年初预算为57.98万元，支出决算为39.6万元，完成年初预算数的68.3%，决算数大于年初预算数的主要原因是：资金支出类型的调整。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5、2130399农林水支出（类）水利（款）2130399其他水利支出（项）。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年初预算为0万元，支出决算为11.49万元，</w:t>
      </w:r>
      <w:r>
        <w:rPr>
          <w:rFonts w:hint="eastAsia" w:ascii="宋体" w:hAnsi="宋体" w:eastAsia="宋体" w:cs="宋体"/>
          <w:color w:val="000000"/>
          <w:kern w:val="0"/>
          <w:sz w:val="31"/>
          <w:szCs w:val="31"/>
          <w:lang w:val="en-US" w:eastAsia="zh-CN" w:bidi="ar"/>
        </w:rPr>
        <w:t>因预算金额为0，无法计算超预算百分比，</w:t>
      </w:r>
      <w:r>
        <w:rPr>
          <w:rFonts w:hint="eastAsia" w:asciiTheme="minorEastAsia" w:hAnsiTheme="minorEastAsia" w:eastAsiaTheme="minorEastAsia"/>
          <w:sz w:val="32"/>
          <w:szCs w:val="32"/>
        </w:rPr>
        <w:t>决算数大于年初预算数的主要原因是：资金支出类型的调整。</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600.61万元，其中：人员经费544.47万元，占基本支出的90.6%,主要包括基本工资270.73万元，津贴补贴0.18万元，奖金4.69万元，绩效工资77.46万元，机关事业单位基本养老缴费43.41万元，职业年金缴费31.43万元，职工基本医疗保险缴费20.68万元，其他社会保障缴费14.92万元，住房公积金46.92万元，其他工资福利支出34.06万元；公用经费56.14万元，占基本支出的9.4%，主要包括办公费2.29万元、水费0.08万元、差旅费0.2万元、维修（护）费24.03万元、会议费1.13万元、培训费1.47万元、公务接待费0.2万元、专用材料费4.92万元、劳务费4.44万元、工会经费9.53万元、福利费1.2万元、公务用车运行维护费3.05万元、其他商品和服务支出3.6万元。</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2021年度“三公”经费财政拨款支出预算为3.7万元，支出决算为3.25万元，完成预算的87.8%，其中：</w:t>
      </w:r>
      <w:r>
        <w:rPr>
          <w:rFonts w:hint="eastAsia" w:asciiTheme="minorEastAsia" w:hAnsiTheme="minorEastAsia" w:eastAsiaTheme="minorEastAsia"/>
          <w:sz w:val="32"/>
          <w:szCs w:val="32"/>
          <w:lang w:val="en-US" w:eastAsia="zh-CN"/>
        </w:rPr>
        <w:tab/>
      </w:r>
    </w:p>
    <w:p>
      <w:pPr>
        <w:pStyle w:val="9"/>
        <w:ind w:firstLine="800" w:firstLineChars="250"/>
      </w:pPr>
      <w:r>
        <w:rPr>
          <w:rFonts w:hint="eastAsia" w:asciiTheme="minorEastAsia" w:hAnsiTheme="minorEastAsia" w:eastAsiaTheme="minorEastAsia"/>
          <w:sz w:val="32"/>
          <w:szCs w:val="32"/>
        </w:rPr>
        <w:t>因公出国（境）费支出预算为0万元，支出决算为0万元。</w:t>
      </w:r>
      <w:r>
        <w:rPr>
          <w:rFonts w:hint="eastAsia" w:ascii="宋体" w:hAnsi="宋体" w:eastAsia="宋体" w:cs="宋体"/>
          <w:color w:val="000000"/>
          <w:kern w:val="0"/>
          <w:sz w:val="31"/>
          <w:szCs w:val="31"/>
          <w:lang w:val="en-US" w:eastAsia="zh-CN" w:bidi="ar"/>
        </w:rPr>
        <w:t>与上年相比减少0万元。</w:t>
      </w:r>
    </w:p>
    <w:p>
      <w:pPr>
        <w:pStyle w:val="9"/>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公务接待费支出预算为0.2万元，支出决算为0.2万元，完成预算的100%。与上年相比持平</w:t>
      </w:r>
      <w:r>
        <w:rPr>
          <w:rFonts w:hint="eastAsia" w:asciiTheme="minorEastAsia" w:hAnsiTheme="minorEastAsia" w:eastAsiaTheme="minorEastAsia"/>
          <w:sz w:val="32"/>
          <w:szCs w:val="32"/>
          <w:lang w:eastAsia="zh-CN"/>
        </w:rPr>
        <w:t>。</w:t>
      </w:r>
      <w:bookmarkStart w:id="3" w:name="_GoBack"/>
      <w:bookmarkEnd w:id="3"/>
    </w:p>
    <w:p>
      <w:pPr>
        <w:pStyle w:val="9"/>
        <w:ind w:firstLine="960" w:firstLineChars="300"/>
      </w:pPr>
      <w:r>
        <w:rPr>
          <w:rFonts w:hint="eastAsia" w:asciiTheme="minorEastAsia" w:hAnsiTheme="minorEastAsia" w:eastAsiaTheme="minorEastAsia"/>
          <w:sz w:val="32"/>
          <w:szCs w:val="32"/>
        </w:rPr>
        <w:t>公务用车购置费支出预算为0万元，支出决算为0万元。</w:t>
      </w:r>
      <w:r>
        <w:rPr>
          <w:rFonts w:hint="eastAsia" w:ascii="宋体" w:hAnsi="宋体" w:eastAsia="宋体" w:cs="宋体"/>
          <w:color w:val="000000"/>
          <w:kern w:val="0"/>
          <w:sz w:val="31"/>
          <w:szCs w:val="31"/>
          <w:lang w:val="en-US" w:eastAsia="zh-CN" w:bidi="ar"/>
        </w:rPr>
        <w:t>与上年相比减少0万元。</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公务用车运行维护费支出预算为3.5万元，支出决算为3.05万元，完成预算的87.1%，决算数小于预算数的主要原因是压减三公经费的支出，支出数与上年相比持平。</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2021年度“三公”经费财政拨款支出决算中，公务接待费支出决算0.2万元，占6.15%,因公出国（境）费支出决算0万元，公务用车购置费及运行维护费支出决算3.05万元，占93.85%。其中：</w:t>
      </w:r>
    </w:p>
    <w:p>
      <w:pPr>
        <w:keepNext w:val="0"/>
        <w:keepLines w:val="0"/>
        <w:widowControl/>
        <w:suppressLineNumbers w:val="0"/>
        <w:ind w:firstLine="640" w:firstLineChars="200"/>
        <w:jc w:val="left"/>
      </w:pPr>
      <w:r>
        <w:rPr>
          <w:rFonts w:hint="eastAsia" w:asciiTheme="minorEastAsia" w:hAnsiTheme="minorEastAsia" w:eastAsiaTheme="minorEastAsia"/>
          <w:sz w:val="32"/>
          <w:szCs w:val="32"/>
        </w:rPr>
        <w:t>1、2021年因公出国（境）费支出为0万元。</w:t>
      </w:r>
      <w:r>
        <w:rPr>
          <w:rFonts w:hint="eastAsia" w:ascii="宋体" w:hAnsi="宋体" w:eastAsia="宋体" w:cs="宋体"/>
          <w:color w:val="000000"/>
          <w:kern w:val="0"/>
          <w:sz w:val="31"/>
          <w:szCs w:val="31"/>
          <w:lang w:val="en-US" w:eastAsia="zh-CN" w:bidi="ar"/>
        </w:rPr>
        <w:t xml:space="preserve">全年安排因公出国（境）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团组0个，累计0人次。</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2、公务接待费支出决算为0.2万元，全年共接待来访团组3个、来宾21人次，主要是上级检查，交流学习等发生的接待支出。</w:t>
      </w:r>
    </w:p>
    <w:p>
      <w:pPr>
        <w:ind w:firstLine="1120" w:firstLineChars="3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3、公务用车购置费及运行维护费支出决算为3.05万元，其中：公务用车购置费0万元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公务用车运行维护费3.05万元，主要是公务用车的日常运行维护支出，截止2021年12月31日，我单位开支财政拨款的公务用车保有量为1辆。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2021年度政府性基金预算财政拨款收入、支出为0万元。</w:t>
      </w:r>
      <w:r>
        <w:rPr>
          <w:rFonts w:asciiTheme="minorEastAsia" w:hAnsiTheme="minorEastAsia" w:eastAsiaTheme="minorEastAsia"/>
          <w:sz w:val="32"/>
          <w:szCs w:val="32"/>
        </w:rPr>
        <w:t xml:space="preserve"> </w:t>
      </w:r>
    </w:p>
    <w:p>
      <w:pPr>
        <w:pStyle w:val="9"/>
        <w:numPr>
          <w:ilvl w:val="0"/>
          <w:numId w:val="2"/>
        </w:numPr>
        <w:rPr>
          <w:rFonts w:hint="eastAsia" w:hAnsi="黑体"/>
          <w:b/>
          <w:sz w:val="32"/>
          <w:szCs w:val="32"/>
          <w:highlight w:val="none"/>
          <w:lang w:eastAsia="zh-CN"/>
        </w:rPr>
      </w:pPr>
      <w:r>
        <w:rPr>
          <w:rFonts w:hint="eastAsia" w:hAnsi="黑体"/>
          <w:b/>
          <w:sz w:val="32"/>
          <w:szCs w:val="32"/>
          <w:highlight w:val="none"/>
        </w:rPr>
        <w:t>国有资本经营预算财政拨款支出决算</w:t>
      </w:r>
      <w:r>
        <w:rPr>
          <w:rFonts w:hint="eastAsia" w:hAnsi="黑体"/>
          <w:b/>
          <w:sz w:val="32"/>
          <w:szCs w:val="32"/>
          <w:highlight w:val="none"/>
          <w:lang w:eastAsia="zh-CN"/>
        </w:rPr>
        <w:t>情况</w:t>
      </w:r>
    </w:p>
    <w:p>
      <w:pPr>
        <w:pStyle w:val="9"/>
        <w:ind w:firstLine="640" w:firstLineChars="200"/>
        <w:rPr>
          <w:rFonts w:hint="eastAsia" w:asciiTheme="minorEastAsia" w:hAnsiTheme="minorEastAsia" w:eastAsiaTheme="minorEastAsia"/>
          <w:i w:val="0"/>
          <w:iCs/>
          <w:color w:val="000000" w:themeColor="text1"/>
          <w:sz w:val="32"/>
          <w:szCs w:val="32"/>
          <w:highlight w:val="none"/>
          <w:lang w:eastAsia="zh-CN"/>
        </w:rPr>
      </w:pPr>
      <w:r>
        <w:rPr>
          <w:rFonts w:hint="eastAsia" w:asciiTheme="minorEastAsia" w:hAnsiTheme="minorEastAsia" w:eastAsiaTheme="minorEastAsia"/>
          <w:i w:val="0"/>
          <w:iCs/>
          <w:color w:val="000000" w:themeColor="text1"/>
          <w:sz w:val="32"/>
          <w:szCs w:val="32"/>
          <w:highlight w:val="none"/>
        </w:rPr>
        <w:t>本单位无国有资本经营预算财政拨款支出</w:t>
      </w:r>
      <w:r>
        <w:rPr>
          <w:rFonts w:hint="eastAsia" w:asciiTheme="minorEastAsia" w:hAnsiTheme="minorEastAsia" w:eastAsiaTheme="minorEastAsia"/>
          <w:i w:val="0"/>
          <w:iCs/>
          <w:color w:val="000000" w:themeColor="text1"/>
          <w:sz w:val="32"/>
          <w:szCs w:val="32"/>
          <w:highlight w:val="none"/>
          <w:lang w:eastAsia="zh-CN"/>
        </w:rPr>
        <w:t>。</w:t>
      </w:r>
    </w:p>
    <w:p>
      <w:pPr>
        <w:pStyle w:val="9"/>
        <w:rPr>
          <w:rFonts w:hAnsi="黑体"/>
          <w:b/>
          <w:sz w:val="32"/>
          <w:szCs w:val="32"/>
        </w:rPr>
      </w:pPr>
      <w:r>
        <w:rPr>
          <w:rFonts w:hint="eastAsia" w:hAnsi="黑体"/>
          <w:b/>
          <w:sz w:val="32"/>
          <w:szCs w:val="32"/>
        </w:rPr>
        <w:t>十、机关运行经费支出说明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本部门2021年度机关运行经费支出为56.14万元，比上年决算数增加13.29万元，增长31%，主要原因是：防汛及冬季维修期间增加了专用材料及劳务费等方面的支出。</w:t>
      </w:r>
    </w:p>
    <w:p>
      <w:pPr>
        <w:pStyle w:val="9"/>
        <w:rPr>
          <w:rFonts w:hAnsi="黑体"/>
          <w:b/>
          <w:sz w:val="32"/>
          <w:szCs w:val="32"/>
        </w:rPr>
      </w:pPr>
      <w:r>
        <w:rPr>
          <w:rFonts w:hint="eastAsia" w:hAnsi="黑体"/>
          <w:b/>
          <w:sz w:val="32"/>
          <w:szCs w:val="32"/>
        </w:rPr>
        <w:t>十</w:t>
      </w:r>
      <w:r>
        <w:rPr>
          <w:rFonts w:hint="eastAsia" w:hAnsi="黑体"/>
          <w:b/>
          <w:sz w:val="32"/>
          <w:szCs w:val="32"/>
          <w:lang w:eastAsia="zh-CN"/>
        </w:rPr>
        <w:t>一</w:t>
      </w:r>
      <w:r>
        <w:rPr>
          <w:rFonts w:hint="eastAsia" w:hAnsi="黑体"/>
          <w:b/>
          <w:sz w:val="32"/>
          <w:szCs w:val="32"/>
        </w:rPr>
        <w:t>、一般性支出情况说明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单位开支会议费1.13万元，用于召开3会议，人数151人，内容为疫情防控会议，防汛动员会议，冬修动员会议；开支培训费1.47万元，用于开展电工专业培训，人数65人，内容为电工知识和实际操作的培训。2021年度本单位未举办节庆、晚会、论坛、赛事活动。</w:t>
      </w:r>
    </w:p>
    <w:p>
      <w:pPr>
        <w:pStyle w:val="9"/>
        <w:rPr>
          <w:rFonts w:hAnsi="黑体"/>
          <w:b/>
          <w:sz w:val="32"/>
          <w:szCs w:val="32"/>
        </w:rPr>
      </w:pPr>
      <w:r>
        <w:rPr>
          <w:rFonts w:hint="eastAsia" w:hAnsi="黑体"/>
          <w:b/>
          <w:sz w:val="32"/>
          <w:szCs w:val="32"/>
        </w:rPr>
        <w:t>十</w:t>
      </w:r>
      <w:r>
        <w:rPr>
          <w:rFonts w:hint="eastAsia" w:hAnsi="黑体"/>
          <w:b/>
          <w:sz w:val="32"/>
          <w:szCs w:val="32"/>
          <w:lang w:eastAsia="zh-CN"/>
        </w:rPr>
        <w:t>二</w:t>
      </w:r>
      <w:r>
        <w:rPr>
          <w:rFonts w:hint="eastAsia" w:hAnsi="黑体"/>
          <w:b/>
          <w:sz w:val="32"/>
          <w:szCs w:val="32"/>
        </w:rPr>
        <w:t>、政府采购支出说明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为0万元，其中：政府采购货物支出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服务支出金额的0%。</w:t>
      </w:r>
    </w:p>
    <w:p>
      <w:pPr>
        <w:pStyle w:val="9"/>
        <w:rPr>
          <w:rFonts w:hAnsi="黑体"/>
          <w:b/>
          <w:sz w:val="32"/>
          <w:szCs w:val="32"/>
        </w:rPr>
      </w:pPr>
      <w:r>
        <w:rPr>
          <w:rFonts w:hint="eastAsia" w:hAnsi="黑体"/>
          <w:b/>
          <w:sz w:val="32"/>
          <w:szCs w:val="32"/>
        </w:rPr>
        <w:t>十</w:t>
      </w:r>
      <w:r>
        <w:rPr>
          <w:rFonts w:hint="eastAsia" w:hAnsi="黑体"/>
          <w:b/>
          <w:sz w:val="32"/>
          <w:szCs w:val="32"/>
          <w:lang w:eastAsia="zh-CN"/>
        </w:rPr>
        <w:t>三</w:t>
      </w:r>
      <w:r>
        <w:rPr>
          <w:rFonts w:hint="eastAsia" w:hAnsi="黑体"/>
          <w:b/>
          <w:sz w:val="32"/>
          <w:szCs w:val="32"/>
        </w:rPr>
        <w:t>、国有资产占用情况说明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截至2021年12月31日，单位共有车辆1辆，其中，其他用车1辆，其他车辆主要是防汛和冬修用车以及日常值班情况的巡视巡查；单位价值50万元以上通用设备0台（套）；单位价值100万元以上专用设备0台（套）。</w:t>
      </w:r>
    </w:p>
    <w:p>
      <w:pPr>
        <w:pStyle w:val="9"/>
        <w:rPr>
          <w:rFonts w:hAnsi="黑体"/>
          <w:b/>
          <w:sz w:val="32"/>
          <w:szCs w:val="32"/>
        </w:rPr>
      </w:pPr>
      <w:r>
        <w:rPr>
          <w:rFonts w:hint="eastAsia" w:hAnsi="黑体"/>
          <w:b/>
          <w:sz w:val="32"/>
          <w:szCs w:val="32"/>
        </w:rPr>
        <w:t>十</w:t>
      </w:r>
      <w:r>
        <w:rPr>
          <w:rFonts w:hint="eastAsia" w:hAnsi="黑体"/>
          <w:b/>
          <w:sz w:val="32"/>
          <w:szCs w:val="32"/>
          <w:lang w:eastAsia="zh-CN"/>
        </w:rPr>
        <w:t>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我单位</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年度一般公共预算项目支出，一级项目0个，二级项目0个，共涉及资金0万元，占一般公共预算项目支出总额的0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。2021年无政府性基金预算项目，2021年度无国有资本经营预算项目支出。</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组织对本单位开展整体支出绩效评价，涉及一般公共预算支出600.61万元，政府性基金预算支出0万元。从评价情况来看，完成以下绩效目标：1、保障外排机埠9处46台，內修涵闸32处42孔基本完好及正常运转；2、搞好垸内水系调度，完成全区的排涝及农田灌溉工作，完成本年度防汛抢险工作；3、确保全区农业丰产丰收，保护生命财产安全；4、完成主管部门交办的其他工作。（详见第五部分附件-区水利局整体支出评价表）</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无</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ind w:firstLine="3600" w:firstLineChars="500"/>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一、财政拨款预算收入：指单位从同级财政部门取得的各类财政拨款资金。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二、事业支出：指事业单位开展专业业务活动及辅助活动实际发生的各项资金流出。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三公”经费：纳入省财政预算管理的“三公”经费，是指一般公共预算拨款安排的公务接待费、公务用车购置及运行维护费和因公出国（境）费。其中：公务接待费反映单位按规定开支的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ind w:firstLine="480" w:firstLineChars="150"/>
        <w:rPr>
          <w:rFonts w:ascii="宋体" w:hAnsi="宋体" w:eastAsia="宋体" w:cs="Times New Roman"/>
          <w:sz w:val="32"/>
          <w:szCs w:val="32"/>
        </w:rPr>
      </w:pPr>
      <w:r>
        <w:rPr>
          <w:rFonts w:hint="eastAsia" w:ascii="宋体" w:hAnsi="宋体" w:eastAsia="宋体" w:cs="宋体"/>
          <w:sz w:val="32"/>
          <w:szCs w:val="32"/>
        </w:rPr>
        <w:t>四、机关运行经费：指行政单位（含参照公务员法管理事业单位）使用一般公共预算财政拨款安排的基本支出中的日常公用经费支出。</w:t>
      </w:r>
    </w:p>
    <w:p>
      <w:pPr>
        <w:widowControl/>
        <w:jc w:val="left"/>
        <w:rPr>
          <w:rFonts w:eastAsia="黑体" w:cs="黑体" w:asciiTheme="minorEastAsia" w:hAnsiTheme="minorEastAsia"/>
          <w:color w:val="000000"/>
          <w:kern w:val="0"/>
          <w:sz w:val="28"/>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ind w:firstLine="3600" w:firstLineChars="500"/>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ind w:firstLine="1920" w:firstLineChars="6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2021年度部门整体支出绩效评价报告</w:t>
      </w:r>
    </w:p>
    <w:p>
      <w:pPr>
        <w:jc w:val="center"/>
        <w:rPr>
          <w:rFonts w:hint="eastAsia" w:ascii="黑体" w:eastAsia="黑体" w:cs="黑体"/>
          <w:color w:val="000000"/>
          <w:kern w:val="0"/>
          <w:sz w:val="70"/>
          <w:szCs w:val="70"/>
        </w:rPr>
      </w:pP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spacing w:line="348" w:lineRule="auto"/>
        <w:rPr>
          <w:rFonts w:ascii="Times New Roman" w:hAnsi="Times New Roman" w:eastAsia="黑体" w:cs="黑体"/>
          <w:bCs/>
          <w:sz w:val="32"/>
          <w:szCs w:val="32"/>
        </w:rPr>
      </w:pPr>
      <w:r>
        <w:rPr>
          <w:rFonts w:hint="eastAsia" w:ascii="Times New Roman" w:hAnsi="Times New Roman" w:eastAsia="黑体" w:cs="黑体"/>
          <w:bCs/>
          <w:sz w:val="32"/>
          <w:szCs w:val="32"/>
        </w:rPr>
        <w:t>附件1</w:t>
      </w:r>
    </w:p>
    <w:p>
      <w:pPr>
        <w:spacing w:line="348" w:lineRule="auto"/>
        <w:jc w:val="center"/>
        <w:rPr>
          <w:rFonts w:ascii="Times New Roman" w:hAnsi="Times New Roman" w:eastAsia="方正小标宋简体" w:cs="Times New Roman"/>
          <w:bCs/>
          <w:sz w:val="42"/>
          <w:szCs w:val="42"/>
        </w:rPr>
      </w:pPr>
    </w:p>
    <w:p>
      <w:pPr>
        <w:spacing w:line="800" w:lineRule="exact"/>
        <w:jc w:val="center"/>
        <w:rPr>
          <w:rFonts w:ascii="Times New Roman" w:hAnsi="Times New Roman" w:eastAsia="方正小标宋简体" w:cs="Times New Roman"/>
          <w:bCs/>
          <w:sz w:val="46"/>
          <w:szCs w:val="46"/>
        </w:rPr>
      </w:pPr>
      <w:r>
        <w:rPr>
          <w:rFonts w:hint="eastAsia" w:ascii="Times New Roman" w:hAnsi="Times New Roman" w:eastAsia="方正小标宋简体" w:cs="Times New Roman"/>
          <w:bCs/>
          <w:sz w:val="46"/>
          <w:szCs w:val="46"/>
        </w:rPr>
        <w:t>岳阳市</w:t>
      </w:r>
      <w:r>
        <w:rPr>
          <w:rFonts w:hint="eastAsia" w:ascii="Times New Roman" w:hAnsi="Times New Roman" w:eastAsia="方正小标宋简体" w:cs="Times New Roman"/>
          <w:bCs/>
          <w:sz w:val="46"/>
          <w:szCs w:val="46"/>
          <w:u w:val="single"/>
        </w:rPr>
        <w:t>2021</w:t>
      </w:r>
      <w:r>
        <w:rPr>
          <w:rFonts w:hint="eastAsia" w:ascii="Times New Roman" w:hAnsi="Times New Roman" w:eastAsia="方正小标宋简体" w:cs="Times New Roman"/>
          <w:bCs/>
          <w:sz w:val="46"/>
          <w:szCs w:val="46"/>
        </w:rPr>
        <w:t>年度部门（单位）整体支出</w:t>
      </w:r>
    </w:p>
    <w:p>
      <w:pPr>
        <w:spacing w:line="800" w:lineRule="exact"/>
        <w:jc w:val="center"/>
        <w:rPr>
          <w:rFonts w:ascii="Times New Roman" w:hAnsi="Times New Roman" w:eastAsia="方正小标宋简体" w:cs="Times New Roman"/>
          <w:bCs/>
          <w:sz w:val="46"/>
          <w:szCs w:val="46"/>
        </w:rPr>
      </w:pPr>
      <w:r>
        <w:rPr>
          <w:rFonts w:hint="eastAsia" w:ascii="Times New Roman" w:hAnsi="Times New Roman" w:eastAsia="方正小标宋简体" w:cs="Times New Roman"/>
          <w:bCs/>
          <w:sz w:val="46"/>
          <w:szCs w:val="46"/>
        </w:rPr>
        <w:t>绩效评价自评报告</w:t>
      </w:r>
    </w:p>
    <w:p>
      <w:pPr>
        <w:rPr>
          <w:rFonts w:ascii="Times New Roman" w:hAnsi="Times New Roman" w:eastAsia="仿宋_GB2312" w:cs="Times New Roman"/>
          <w:b/>
          <w:sz w:val="32"/>
          <w:szCs w:val="24"/>
        </w:rPr>
      </w:pPr>
    </w:p>
    <w:p>
      <w:pPr>
        <w:rPr>
          <w:rFonts w:ascii="Times New Roman" w:hAnsi="Times New Roman" w:eastAsia="仿宋_GB2312" w:cs="Times New Roman"/>
          <w:b/>
          <w:sz w:val="32"/>
          <w:szCs w:val="24"/>
        </w:rPr>
      </w:pPr>
    </w:p>
    <w:p>
      <w:pPr>
        <w:rPr>
          <w:rFonts w:ascii="Times New Roman" w:hAnsi="Times New Roman" w:eastAsia="仿宋_GB2312" w:cs="Times New Roman"/>
          <w:b/>
          <w:sz w:val="32"/>
          <w:szCs w:val="24"/>
        </w:rPr>
      </w:pPr>
    </w:p>
    <w:p>
      <w:pPr>
        <w:spacing w:before="156" w:beforeLines="50" w:line="348" w:lineRule="auto"/>
        <w:ind w:firstLine="480" w:firstLineChars="150"/>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rPr>
        <w:t>部门(单位)名称</w:t>
      </w:r>
      <w:r>
        <w:rPr>
          <w:rFonts w:hint="eastAsia" w:ascii="Times New Roman" w:hAnsi="Times New Roman" w:eastAsia="仿宋_GB2312" w:cs="Times New Roman"/>
          <w:sz w:val="32"/>
          <w:szCs w:val="24"/>
          <w:u w:val="single"/>
        </w:rPr>
        <w:t xml:space="preserve">       岳阳市屈原管理区水利局       </w:t>
      </w:r>
    </w:p>
    <w:p>
      <w:pPr>
        <w:spacing w:before="156" w:beforeLines="50" w:line="348" w:lineRule="auto"/>
        <w:ind w:firstLine="480" w:firstLineChars="15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预算编码</w:t>
      </w:r>
      <w:r>
        <w:rPr>
          <w:rFonts w:hint="eastAsia" w:ascii="Times New Roman" w:hAnsi="Times New Roman" w:eastAsia="仿宋_GB2312" w:cs="Times New Roman"/>
          <w:sz w:val="32"/>
          <w:szCs w:val="24"/>
          <w:u w:val="single"/>
        </w:rPr>
        <w:t xml:space="preserve">                     302001               </w:t>
      </w:r>
    </w:p>
    <w:p>
      <w:pPr>
        <w:spacing w:before="156" w:beforeLines="50" w:line="348" w:lineRule="auto"/>
        <w:ind w:firstLine="480" w:firstLineChars="15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评价方式：</w:t>
      </w:r>
      <w:r>
        <w:rPr>
          <w:rFonts w:hint="eastAsia" w:ascii="Times New Roman" w:hAnsi="Times New Roman" w:eastAsia="仿宋_GB2312" w:cs="Times New Roman"/>
          <w:sz w:val="28"/>
          <w:szCs w:val="28"/>
        </w:rPr>
        <w:t>部门（单位）绩效自评</w:t>
      </w:r>
    </w:p>
    <w:p>
      <w:pPr>
        <w:spacing w:before="156" w:beforeLines="50" w:line="348" w:lineRule="auto"/>
        <w:ind w:firstLine="480" w:firstLineChars="150"/>
        <w:rPr>
          <w:rFonts w:ascii="Times New Roman" w:hAnsi="Times New Roman" w:eastAsia="仿宋_GB2312" w:cs="Times New Roman"/>
          <w:sz w:val="32"/>
          <w:szCs w:val="24"/>
        </w:rPr>
      </w:pPr>
      <w:r>
        <w:rPr>
          <w:rFonts w:hint="eastAsia" w:ascii="Times New Roman" w:hAnsi="Times New Roman" w:eastAsia="仿宋_GB2312" w:cs="Times New Roman"/>
          <w:sz w:val="32"/>
          <w:szCs w:val="32"/>
        </w:rPr>
        <w:t>评价机构：</w:t>
      </w:r>
      <w:r>
        <w:rPr>
          <w:rFonts w:hint="eastAsia" w:ascii="Times New Roman" w:hAnsi="Times New Roman" w:eastAsia="仿宋_GB2312" w:cs="Times New Roman"/>
          <w:sz w:val="28"/>
          <w:szCs w:val="28"/>
        </w:rPr>
        <w:t xml:space="preserve">部门（单位）评价组   </w:t>
      </w:r>
    </w:p>
    <w:p>
      <w:pPr>
        <w:spacing w:line="348" w:lineRule="auto"/>
        <w:ind w:firstLine="2208" w:firstLineChars="690"/>
        <w:rPr>
          <w:rFonts w:ascii="Times New Roman" w:hAnsi="Times New Roman" w:eastAsia="仿宋_GB2312" w:cs="Times New Roman"/>
          <w:sz w:val="32"/>
          <w:szCs w:val="24"/>
        </w:rPr>
      </w:pPr>
    </w:p>
    <w:p>
      <w:pPr>
        <w:spacing w:line="348" w:lineRule="auto"/>
        <w:ind w:firstLine="2208" w:firstLineChars="690"/>
        <w:rPr>
          <w:rFonts w:ascii="Times New Roman" w:hAnsi="Times New Roman" w:eastAsia="仿宋_GB2312" w:cs="Times New Roman"/>
          <w:sz w:val="32"/>
          <w:szCs w:val="24"/>
        </w:rPr>
      </w:pPr>
    </w:p>
    <w:p>
      <w:pPr>
        <w:spacing w:line="348" w:lineRule="auto"/>
        <w:ind w:firstLine="2208" w:firstLineChars="69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报告日期：2022年 8 月 10 日</w:t>
      </w:r>
    </w:p>
    <w:p>
      <w:pPr>
        <w:spacing w:line="348"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24"/>
        </w:rPr>
        <w:t>岳阳市财政</w:t>
      </w:r>
      <w:r>
        <w:rPr>
          <w:rFonts w:hint="eastAsia" w:ascii="Times New Roman" w:hAnsi="Times New Roman" w:eastAsia="仿宋_GB2312" w:cs="Times New Roman"/>
          <w:sz w:val="32"/>
          <w:szCs w:val="32"/>
        </w:rPr>
        <w:t>局（制）</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tbl>
      <w:tblPr>
        <w:tblStyle w:val="5"/>
        <w:tblW w:w="9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77"/>
        <w:gridCol w:w="49"/>
        <w:gridCol w:w="477"/>
        <w:gridCol w:w="739"/>
        <w:gridCol w:w="333"/>
        <w:gridCol w:w="1000"/>
        <w:gridCol w:w="417"/>
        <w:gridCol w:w="1033"/>
        <w:gridCol w:w="277"/>
        <w:gridCol w:w="24"/>
        <w:gridCol w:w="1316"/>
        <w:gridCol w:w="59"/>
        <w:gridCol w:w="425"/>
        <w:gridCol w:w="733"/>
        <w:gridCol w:w="242"/>
        <w:gridCol w:w="357"/>
        <w:gridCol w:w="234"/>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8" w:type="dxa"/>
            <w:gridSpan w:val="18"/>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黑体" w:hAnsi="黑体" w:eastAsia="黑体" w:cs="黑体"/>
                <w:b/>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联系人</w:t>
            </w:r>
          </w:p>
        </w:tc>
        <w:tc>
          <w:tcPr>
            <w:tcW w:w="3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Times New Roman" w:hAnsi="Times New Roman" w:eastAsia="宋体" w:cs="Times New Roman"/>
                <w:kern w:val="0"/>
                <w:sz w:val="24"/>
                <w:szCs w:val="24"/>
              </w:rPr>
              <w:t>廖汨青　</w:t>
            </w:r>
          </w:p>
        </w:tc>
        <w:tc>
          <w:tcPr>
            <w:tcW w:w="2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联络电话</w:t>
            </w:r>
          </w:p>
        </w:tc>
        <w:tc>
          <w:tcPr>
            <w:tcW w:w="1387"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Times New Roman" w:hAnsi="Times New Roman" w:eastAsia="宋体" w:cs="Times New Roman"/>
                <w:kern w:val="0"/>
                <w:sz w:val="24"/>
                <w:szCs w:val="24"/>
              </w:rPr>
              <w:t>15115090239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人员编制</w:t>
            </w:r>
          </w:p>
        </w:tc>
        <w:tc>
          <w:tcPr>
            <w:tcW w:w="3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Times New Roman" w:hAnsi="Times New Roman" w:eastAsia="宋体" w:cs="Times New Roman"/>
                <w:kern w:val="0"/>
                <w:sz w:val="24"/>
                <w:szCs w:val="24"/>
              </w:rPr>
              <w:t>84</w:t>
            </w:r>
          </w:p>
        </w:tc>
        <w:tc>
          <w:tcPr>
            <w:tcW w:w="2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实有人数</w:t>
            </w:r>
          </w:p>
        </w:tc>
        <w:tc>
          <w:tcPr>
            <w:tcW w:w="1387"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Times New Roman" w:hAnsi="Times New Roman" w:eastAsia="仿宋_GB2312" w:cs="Times New Roman"/>
                <w:kern w:val="0"/>
                <w:sz w:val="24"/>
                <w:szCs w:val="24"/>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职能职责概述</w:t>
            </w:r>
          </w:p>
        </w:tc>
        <w:tc>
          <w:tcPr>
            <w:tcW w:w="7985" w:type="dxa"/>
            <w:gridSpan w:val="15"/>
            <w:vAlign w:val="center"/>
          </w:tcPr>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1、负责保障水资源的合理开发和利用。</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2．负责生活、生产经营和生态环境用水的统筹和保障。</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3．按规定制定水利工程建设和运行管理有关制度并组织实施。</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4．指导水资源保护工作。组织编制实施水资源保护规划。</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5．负责节约用水工作。</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6．按规定组织开展水资源、水能资源调查评价和水资源承载能力监测预警工作。</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7．指导水利设施、水域及其岸线的管理、保护与综合利用。</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8．指导监督水利工程建设与运行管理。</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9．负责水土保持工作。</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10．指导农村水利工作。</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11．负责水库移民管理工作。</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12．指导协调重大涉水违法事件的查处，协调跨县（市、区）水事纠纷，负责辖区范围内的水政监察和水行政执法。</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13．开展水利科技和外事工作。</w:t>
            </w:r>
          </w:p>
          <w:p>
            <w:pPr>
              <w:widowControl/>
              <w:spacing w:line="400" w:lineRule="exact"/>
              <w:ind w:firstLine="480" w:firstLineChars="200"/>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14．负责落实综合防灾减灾规划相关要求，组织编制洪水干旱灾害防治规划和防护标准并指导实施。</w:t>
            </w:r>
          </w:p>
          <w:p>
            <w:pPr>
              <w:spacing w:line="320" w:lineRule="exact"/>
              <w:ind w:firstLine="480" w:firstLineChars="200"/>
              <w:rPr>
                <w:rFonts w:ascii="仿宋_GB2312" w:hAnsi="仿宋_GB2312" w:eastAsia="仿宋_GB2312" w:cs="仿宋_GB2312"/>
                <w:color w:val="000000"/>
                <w:sz w:val="24"/>
                <w:szCs w:val="24"/>
              </w:rPr>
            </w:pPr>
            <w:r>
              <w:rPr>
                <w:rFonts w:hint="eastAsia" w:ascii="宋体" w:hAnsi="宋体" w:eastAsia="宋体" w:cs="宋体"/>
                <w:color w:val="000000"/>
                <w:sz w:val="24"/>
                <w:szCs w:val="24"/>
              </w:rPr>
              <w:t>15．承办区委、区管委交办的其他事项。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76"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年度主要工作内容</w:t>
            </w:r>
          </w:p>
        </w:tc>
        <w:tc>
          <w:tcPr>
            <w:tcW w:w="7985" w:type="dxa"/>
            <w:gridSpan w:val="15"/>
            <w:vAlign w:val="center"/>
          </w:tcPr>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一、立足经济发展，着力抓好争资争项。                                二、立足行业职能，着力抓好项目建设。                                三、立足防洪保安，着力抓好防汛抗旱。                                         四、立足水环境治理，着力抓好河湖长制。                              五、立足改善民生，着力抓好安全饮水。                                       六、立足巡察整改，着力抓好人员清理。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8"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年度部门（单位）总体运行情况及取得的成绩</w:t>
            </w:r>
          </w:p>
        </w:tc>
        <w:tc>
          <w:tcPr>
            <w:tcW w:w="7985" w:type="dxa"/>
            <w:gridSpan w:val="15"/>
            <w:vAlign w:val="center"/>
          </w:tcPr>
          <w:p>
            <w:pPr>
              <w:autoSpaceDN w:val="0"/>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一）立足经济发展，着力抓好争资争项。2021年我局争资任务是4500万元，目前已到位资金4630.41万元，超额完成区定任务。其中包括平江河三期治理工程1979万元、中央水利发展资金628万元、小型病险水库除险加固380万元、抗震巩固提升1060万元、中央水利救灾资金80万元、移民资金503.41万。争取项目7个，包括屈原管理区平江河二期治理工程，维养维护工程，抗震巩固提升工程，水毁修复工程、移民后扶项目3个。储备项目2个，屈原涝区排涝能力建设项目、汨罗江整治工程（屈原部分）。</w:t>
            </w:r>
          </w:p>
          <w:p>
            <w:pPr>
              <w:autoSpaceDN w:val="0"/>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二）立足行业职能，着力抓好项目建设。2021年雨水丰沛，我局全力克服多雨天气影响，倒排工期，倒逼工程进度，完成工业大道水利设施配套工程；2020年水利冬修工程各项建设任务赶在汛前全面完工；中小河流治理、平江河汨罗市二期治理工程均已完成工程量的95%。春江、复兴水库除险加固工程，三洲桥至推山咀码头4号河西侧护脚、护坡工程目前已完成50%，预计年底完成建设任务。平江河三期治理工程现已完成初步设计、资格审查等工作，中央资金已到位。屈原涝区排涝能力建设项目、汨罗江整治工程（屈原部分）已完成可研工作。</w:t>
            </w:r>
          </w:p>
          <w:p>
            <w:pPr>
              <w:autoSpaceDN w:val="0"/>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（三）立足防洪保安，着力抓好防汛抗旱。今年以来我区遭遇三次强降雨，</w:t>
            </w:r>
            <w:r>
              <w:rPr>
                <w:rFonts w:ascii="宋体" w:hAnsi="宋体" w:eastAsia="宋体" w:cs="宋体"/>
                <w:color w:val="000000"/>
                <w:sz w:val="24"/>
                <w:szCs w:val="24"/>
              </w:rPr>
              <w:t>截止</w:t>
            </w:r>
            <w:r>
              <w:rPr>
                <w:rFonts w:hint="eastAsia" w:ascii="宋体" w:hAnsi="宋体" w:eastAsia="宋体" w:cs="宋体"/>
                <w:color w:val="000000"/>
                <w:sz w:val="24"/>
                <w:szCs w:val="24"/>
              </w:rPr>
              <w:t>12</w:t>
            </w:r>
            <w:r>
              <w:rPr>
                <w:rFonts w:ascii="宋体" w:hAnsi="宋体" w:eastAsia="宋体" w:cs="宋体"/>
                <w:color w:val="000000"/>
                <w:sz w:val="24"/>
                <w:szCs w:val="24"/>
              </w:rPr>
              <w:t>月</w:t>
            </w:r>
            <w:r>
              <w:rPr>
                <w:rFonts w:hint="eastAsia" w:ascii="宋体" w:hAnsi="宋体" w:eastAsia="宋体" w:cs="宋体"/>
                <w:color w:val="000000"/>
                <w:sz w:val="24"/>
                <w:szCs w:val="24"/>
              </w:rPr>
              <w:t>23</w:t>
            </w:r>
            <w:r>
              <w:rPr>
                <w:rFonts w:ascii="宋体" w:hAnsi="宋体" w:eastAsia="宋体" w:cs="宋体"/>
                <w:color w:val="000000"/>
                <w:sz w:val="24"/>
                <w:szCs w:val="24"/>
              </w:rPr>
              <w:t>日8时，全区总降水量为</w:t>
            </w:r>
            <w:r>
              <w:rPr>
                <w:rFonts w:hint="eastAsia" w:ascii="宋体" w:hAnsi="宋体" w:eastAsia="宋体" w:cs="宋体"/>
                <w:color w:val="000000"/>
                <w:sz w:val="24"/>
                <w:szCs w:val="24"/>
              </w:rPr>
              <w:t>1379.5</w:t>
            </w:r>
            <w:r>
              <w:rPr>
                <w:rFonts w:ascii="宋体" w:hAnsi="宋体" w:eastAsia="宋体" w:cs="宋体"/>
                <w:color w:val="000000"/>
                <w:sz w:val="24"/>
                <w:szCs w:val="24"/>
              </w:rPr>
              <w:t>毫米，较多年均值偏</w:t>
            </w:r>
            <w:r>
              <w:rPr>
                <w:rFonts w:hint="eastAsia" w:ascii="宋体" w:hAnsi="宋体" w:eastAsia="宋体" w:cs="宋体"/>
                <w:color w:val="000000"/>
                <w:sz w:val="24"/>
                <w:szCs w:val="24"/>
              </w:rPr>
              <w:t>多3%，7-8月又面临涝旱急转局面。对此，我局始终坚持“外保安全、内保丰收”原则，科学研判，有效应对。一是全面落实防汛抗旱责任。二是全面开展汛前排查。对一线防洪大堤、穿堤涵闸、外排机埠等，特别是之前出险险点开展4次汛前隐患排查，对排查出的4处隐患整治到位。三是全面修订完善方案预案。修编完成20项预案及规程。四是全面强化保障措施。按规定组建三队人员；开展培训演练；增储各类防汛物资，储备数量均超额完成省市要求。五是全面抓好调度。科学做好电排、水闸调度，保障全区农业生产。</w:t>
            </w:r>
          </w:p>
          <w:p>
            <w:pPr>
              <w:autoSpaceDN w:val="0"/>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四）立足水环境治理，着力抓好河湖长制。今年我局紧紧围绕“河畅、水清、岸绿、景美”总体目标，细化工作措施，强化责任落实，河长制工作成效受到上级部门充分肯定。一是创新河湖管理体制。创新建立区管河湖“河湖长+检察长”协作机制，建立完善部门间协同推进工作机制，切实提升河湖治理法治化水平。二是规范落实巡河工作。今年来，三级河（湖）长共巡河（湖）1094人次，发现交办问题233个，整改完成率达到了100%。三是持续开展“清四乱”。开展“清四乱”回头看行动，清存量、控增量，及时完成34个“清四乱”整改任务，实现“四乱”问题动态清零。清理河道135公里，清理垃圾32余吨，拆除非法砂石场2处以及清除河道内非法建筑物400余平方米。四是执行好市第一总河长指令。按要求，组织各级河湖长针对辖区河湖水质开展集中巡查，各部门联动对各沿河外排机埠排渍口、城乡污水处理厂、农业面源污染进行水质监测，及时消除水质污染问题隐患。五是规范河湖水域岸线管理。强化日常巡查和监管，累计开展河湖巡查19次，合计1300余公里，及时发现制止涉河违法行为7起。严格河道管理范围内规范建设，配合农业农村部门落实禁捕退捕工作，杜绝非法占用水域岸线及水事领域违法问题的发生。</w:t>
            </w:r>
          </w:p>
          <w:p>
            <w:pPr>
              <w:autoSpaceDN w:val="0"/>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五）立足改善民生，着力抓好安全饮水。一是结合党史学习教育“我为群众办实事”活动，助力乡村振兴，对凤凰乡横港水厂水井突发性淤堵进行屈原供水公司自来水管网延伸改造，铺设PE90-110管网1000米，投入资金20万元及时解决3000余人饮水安全问题。对凤凰乡河泊潭村加压站进行改造及维修养护，投资15万元，受益人口4000余人。二是推进大讨论活动走深走实，对营田镇义南村集中建房小区进行巩固提升改造，投资金额10万元，受益人口近千人，彻底解决义南村集中建房小区居民因供水管道偏小导致供水压力不足问题。三是切实巩固脱贫攻坚成果，对全区农村饮水安全工程进行饮水安全“回头看”全面摸底排查，未出现饮水不安全情况。四是常规落实巡检与季检相结合的水质检测工作，确保全区居民生活用水安全。</w:t>
            </w:r>
          </w:p>
          <w:p>
            <w:pPr>
              <w:autoSpaceDN w:val="0"/>
              <w:spacing w:line="400" w:lineRule="exact"/>
              <w:jc w:val="left"/>
              <w:textAlignment w:val="center"/>
              <w:rPr>
                <w:rFonts w:ascii="仿宋_GB2312" w:hAnsi="仿宋_GB2312" w:eastAsia="宋体" w:cs="仿宋_GB2312"/>
                <w:color w:val="000000"/>
                <w:sz w:val="24"/>
                <w:szCs w:val="24"/>
              </w:rPr>
            </w:pPr>
            <w:r>
              <w:rPr>
                <w:rFonts w:hint="eastAsia" w:ascii="宋体" w:hAnsi="宋体" w:eastAsia="宋体" w:cs="宋体"/>
                <w:color w:val="000000"/>
                <w:sz w:val="24"/>
                <w:szCs w:val="24"/>
              </w:rPr>
              <w:t>（六）立足巡察整改，着力抓好人员清理。针对巡察反馈的涉及我局临聘人员管理混乱问题，水利局立行立改，按照区委统一部署，成立临聘人员清理清退领导小组，结合单位实际科学制定实施方案，目前已清退临聘人员15人，该项工作正稳步有序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8" w:type="dxa"/>
            <w:gridSpan w:val="18"/>
            <w:vAlign w:val="center"/>
          </w:tcPr>
          <w:p>
            <w:pPr>
              <w:autoSpaceDN w:val="0"/>
              <w:spacing w:line="400" w:lineRule="exact"/>
              <w:jc w:val="center"/>
              <w:textAlignment w:val="center"/>
              <w:rPr>
                <w:rFonts w:ascii="黑体" w:hAnsi="黑体" w:eastAsia="黑体" w:cs="黑体"/>
                <w:b/>
                <w:color w:val="000000"/>
                <w:sz w:val="28"/>
                <w:szCs w:val="28"/>
              </w:rPr>
            </w:pPr>
          </w:p>
          <w:p>
            <w:pPr>
              <w:numPr>
                <w:ilvl w:val="0"/>
                <w:numId w:val="3"/>
              </w:numPr>
              <w:autoSpaceDN w:val="0"/>
              <w:spacing w:line="400" w:lineRule="exact"/>
              <w:jc w:val="center"/>
              <w:textAlignment w:val="center"/>
              <w:rPr>
                <w:rFonts w:ascii="黑体" w:hAnsi="黑体" w:eastAsia="黑体" w:cs="黑体"/>
                <w:b/>
                <w:color w:val="000000"/>
                <w:sz w:val="28"/>
                <w:szCs w:val="28"/>
              </w:rPr>
            </w:pPr>
            <w:r>
              <w:rPr>
                <w:rFonts w:hint="eastAsia" w:ascii="黑体" w:hAnsi="黑体" w:eastAsia="黑体" w:cs="黑体"/>
                <w:b/>
                <w:color w:val="000000"/>
                <w:sz w:val="28"/>
                <w:szCs w:val="28"/>
              </w:rPr>
              <w:t>部门（单位）收支情况</w:t>
            </w:r>
          </w:p>
          <w:p>
            <w:pPr>
              <w:autoSpaceDN w:val="0"/>
              <w:spacing w:line="400" w:lineRule="exact"/>
              <w:textAlignment w:val="center"/>
              <w:rPr>
                <w:rFonts w:ascii="黑体" w:hAnsi="黑体" w:eastAsia="黑体" w:cs="黑体"/>
                <w:b/>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97" w:hRule="atLeast"/>
          <w:jc w:val="center"/>
        </w:trPr>
        <w:tc>
          <w:tcPr>
            <w:tcW w:w="9888" w:type="dxa"/>
            <w:gridSpan w:val="18"/>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77" w:type="dxa"/>
            <w:vMerge w:val="restart"/>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收入合计</w:t>
            </w:r>
          </w:p>
        </w:tc>
        <w:tc>
          <w:tcPr>
            <w:tcW w:w="7246" w:type="dxa"/>
            <w:gridSpan w:val="14"/>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77" w:type="dxa"/>
            <w:vMerge w:val="continue"/>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上年结转</w:t>
            </w:r>
          </w:p>
        </w:tc>
        <w:tc>
          <w:tcPr>
            <w:tcW w:w="1450"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公共财政拨款</w:t>
            </w:r>
          </w:p>
        </w:tc>
        <w:tc>
          <w:tcPr>
            <w:tcW w:w="1617"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政府基金拨款</w:t>
            </w:r>
          </w:p>
        </w:tc>
        <w:tc>
          <w:tcPr>
            <w:tcW w:w="1816"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纳入专户管理的非税收入拨款</w:t>
            </w:r>
          </w:p>
        </w:tc>
        <w:tc>
          <w:tcPr>
            <w:tcW w:w="1030"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8" w:hRule="atLeast"/>
          <w:jc w:val="center"/>
        </w:trPr>
        <w:tc>
          <w:tcPr>
            <w:tcW w:w="1377" w:type="dxa"/>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水利局及下属二级机构</w:t>
            </w:r>
          </w:p>
        </w:tc>
        <w:tc>
          <w:tcPr>
            <w:tcW w:w="1265" w:type="dxa"/>
            <w:gridSpan w:val="3"/>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2758.89</w:t>
            </w:r>
          </w:p>
        </w:tc>
        <w:tc>
          <w:tcPr>
            <w:tcW w:w="1333" w:type="dxa"/>
            <w:gridSpan w:val="2"/>
            <w:tcBorders>
              <w:left w:val="single" w:color="auto" w:sz="4" w:space="0"/>
            </w:tcBorders>
            <w:vAlign w:val="center"/>
          </w:tcPr>
          <w:p>
            <w:pPr>
              <w:autoSpaceDN w:val="0"/>
              <w:spacing w:line="400" w:lineRule="exact"/>
              <w:jc w:val="left"/>
              <w:textAlignment w:val="center"/>
              <w:rPr>
                <w:rFonts w:ascii="仿宋_GB2312" w:hAnsi="仿宋_GB2312" w:eastAsia="仿宋_GB2312" w:cs="仿宋_GB2312"/>
                <w:color w:val="000000"/>
                <w:sz w:val="24"/>
                <w:szCs w:val="24"/>
              </w:rPr>
            </w:pPr>
          </w:p>
        </w:tc>
        <w:tc>
          <w:tcPr>
            <w:tcW w:w="1450"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2482.54</w:t>
            </w:r>
          </w:p>
        </w:tc>
        <w:tc>
          <w:tcPr>
            <w:tcW w:w="1617"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276.35</w:t>
            </w:r>
          </w:p>
        </w:tc>
        <w:tc>
          <w:tcPr>
            <w:tcW w:w="1816"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1030" w:type="dxa"/>
            <w:gridSpan w:val="2"/>
            <w:vAlign w:val="center"/>
          </w:tcPr>
          <w:p>
            <w:pPr>
              <w:autoSpaceDN w:val="0"/>
              <w:spacing w:line="400" w:lineRule="exact"/>
              <w:jc w:val="left"/>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66" w:hRule="atLeast"/>
          <w:jc w:val="center"/>
        </w:trPr>
        <w:tc>
          <w:tcPr>
            <w:tcW w:w="9888" w:type="dxa"/>
            <w:gridSpan w:val="18"/>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restart"/>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支出合计</w:t>
            </w:r>
          </w:p>
        </w:tc>
        <w:tc>
          <w:tcPr>
            <w:tcW w:w="6450" w:type="dxa"/>
            <w:gridSpan w:val="13"/>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796" w:type="dxa"/>
            <w:vMerge w:val="restart"/>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continue"/>
            <w:vAlign w:val="center"/>
          </w:tcPr>
          <w:p>
            <w:pPr>
              <w:spacing w:line="400" w:lineRule="exact"/>
              <w:jc w:val="center"/>
              <w:rPr>
                <w:rFonts w:ascii="仿宋_GB2312" w:hAnsi="仿宋_GB2312" w:eastAsia="仿宋_GB2312" w:cs="仿宋_GB2312"/>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1333" w:type="dxa"/>
            <w:gridSpan w:val="2"/>
            <w:vMerge w:val="restart"/>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基本支出</w:t>
            </w:r>
          </w:p>
        </w:tc>
        <w:tc>
          <w:tcPr>
            <w:tcW w:w="3551" w:type="dxa"/>
            <w:gridSpan w:val="7"/>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566" w:type="dxa"/>
            <w:gridSpan w:val="4"/>
            <w:vMerge w:val="restart"/>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项目支出</w:t>
            </w:r>
          </w:p>
        </w:tc>
        <w:tc>
          <w:tcPr>
            <w:tcW w:w="796" w:type="dxa"/>
            <w:vMerge w:val="continue"/>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continue"/>
            <w:vAlign w:val="center"/>
          </w:tcPr>
          <w:p>
            <w:pPr>
              <w:spacing w:line="400" w:lineRule="exact"/>
              <w:jc w:val="center"/>
              <w:rPr>
                <w:rFonts w:ascii="仿宋_GB2312" w:hAnsi="仿宋_GB2312" w:eastAsia="仿宋_GB2312" w:cs="仿宋_GB2312"/>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1333" w:type="dxa"/>
            <w:gridSpan w:val="2"/>
            <w:vMerge w:val="continue"/>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1751"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人员支出</w:t>
            </w:r>
          </w:p>
        </w:tc>
        <w:tc>
          <w:tcPr>
            <w:tcW w:w="1800"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公用支出</w:t>
            </w:r>
          </w:p>
        </w:tc>
        <w:tc>
          <w:tcPr>
            <w:tcW w:w="1566" w:type="dxa"/>
            <w:gridSpan w:val="4"/>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796" w:type="dxa"/>
            <w:vMerge w:val="continue"/>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1" w:hRule="atLeast"/>
          <w:jc w:val="center"/>
        </w:trPr>
        <w:tc>
          <w:tcPr>
            <w:tcW w:w="1377" w:type="dxa"/>
            <w:vAlign w:val="center"/>
          </w:tcPr>
          <w:p>
            <w:pPr>
              <w:autoSpaceDN w:val="0"/>
              <w:spacing w:line="40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水利局及下属二级机构</w:t>
            </w:r>
          </w:p>
        </w:tc>
        <w:tc>
          <w:tcPr>
            <w:tcW w:w="1265" w:type="dxa"/>
            <w:gridSpan w:val="3"/>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2758.89</w:t>
            </w:r>
          </w:p>
        </w:tc>
        <w:tc>
          <w:tcPr>
            <w:tcW w:w="1333" w:type="dxa"/>
            <w:gridSpan w:val="2"/>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1157.6</w:t>
            </w:r>
          </w:p>
        </w:tc>
        <w:tc>
          <w:tcPr>
            <w:tcW w:w="1751"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860.74</w:t>
            </w:r>
          </w:p>
        </w:tc>
        <w:tc>
          <w:tcPr>
            <w:tcW w:w="1800"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296.86</w:t>
            </w:r>
          </w:p>
        </w:tc>
        <w:tc>
          <w:tcPr>
            <w:tcW w:w="1566"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1601.28</w:t>
            </w:r>
          </w:p>
        </w:tc>
        <w:tc>
          <w:tcPr>
            <w:tcW w:w="796" w:type="dxa"/>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restart"/>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三公经费</w:t>
            </w:r>
          </w:p>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7246" w:type="dxa"/>
            <w:gridSpan w:val="14"/>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continue"/>
            <w:vAlign w:val="center"/>
          </w:tcPr>
          <w:p>
            <w:pPr>
              <w:spacing w:line="400" w:lineRule="exact"/>
              <w:jc w:val="center"/>
              <w:rPr>
                <w:rFonts w:ascii="仿宋_GB2312" w:hAnsi="仿宋_GB2312" w:eastAsia="仿宋_GB2312" w:cs="仿宋_GB2312"/>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公务接待费</w:t>
            </w:r>
          </w:p>
        </w:tc>
        <w:tc>
          <w:tcPr>
            <w:tcW w:w="1751"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公务用车运维费</w:t>
            </w:r>
          </w:p>
        </w:tc>
        <w:tc>
          <w:tcPr>
            <w:tcW w:w="1800"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公务用车购置费</w:t>
            </w:r>
          </w:p>
        </w:tc>
        <w:tc>
          <w:tcPr>
            <w:tcW w:w="1566"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因公出国费</w:t>
            </w:r>
          </w:p>
        </w:tc>
        <w:tc>
          <w:tcPr>
            <w:tcW w:w="796" w:type="dxa"/>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会议费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48" w:hRule="atLeast"/>
          <w:jc w:val="center"/>
        </w:trPr>
        <w:tc>
          <w:tcPr>
            <w:tcW w:w="1377" w:type="dxa"/>
            <w:vAlign w:val="center"/>
          </w:tcPr>
          <w:p>
            <w:pPr>
              <w:autoSpaceDN w:val="0"/>
              <w:spacing w:line="40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水利局及下属二级机构</w:t>
            </w:r>
          </w:p>
        </w:tc>
        <w:tc>
          <w:tcPr>
            <w:tcW w:w="1265" w:type="dxa"/>
            <w:gridSpan w:val="3"/>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13.92</w:t>
            </w:r>
          </w:p>
        </w:tc>
        <w:tc>
          <w:tcPr>
            <w:tcW w:w="1333" w:type="dxa"/>
            <w:gridSpan w:val="2"/>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1.13</w:t>
            </w:r>
          </w:p>
        </w:tc>
        <w:tc>
          <w:tcPr>
            <w:tcW w:w="1751"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8.86</w:t>
            </w:r>
          </w:p>
        </w:tc>
        <w:tc>
          <w:tcPr>
            <w:tcW w:w="1800"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1566"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796" w:type="dxa"/>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restart"/>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固定资产</w:t>
            </w:r>
          </w:p>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450" w:type="dxa"/>
            <w:gridSpan w:val="13"/>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796" w:type="dxa"/>
            <w:vMerge w:val="restart"/>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continue"/>
            <w:vAlign w:val="center"/>
          </w:tcPr>
          <w:p>
            <w:pPr>
              <w:spacing w:line="400" w:lineRule="exact"/>
              <w:jc w:val="center"/>
              <w:rPr>
                <w:rFonts w:ascii="仿宋_GB2312" w:hAnsi="仿宋_GB2312" w:eastAsia="仿宋_GB2312" w:cs="仿宋_GB2312"/>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3084" w:type="dxa"/>
            <w:gridSpan w:val="6"/>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在用固定资产</w:t>
            </w:r>
          </w:p>
        </w:tc>
        <w:tc>
          <w:tcPr>
            <w:tcW w:w="3366" w:type="dxa"/>
            <w:gridSpan w:val="7"/>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出租固定资产</w:t>
            </w:r>
          </w:p>
        </w:tc>
        <w:tc>
          <w:tcPr>
            <w:tcW w:w="796" w:type="dxa"/>
            <w:vMerge w:val="continue"/>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07" w:hRule="atLeast"/>
          <w:jc w:val="center"/>
        </w:trPr>
        <w:tc>
          <w:tcPr>
            <w:tcW w:w="1377"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水利局及下属二级机构</w:t>
            </w:r>
          </w:p>
        </w:tc>
        <w:tc>
          <w:tcPr>
            <w:tcW w:w="1265" w:type="dxa"/>
            <w:gridSpan w:val="3"/>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2002.45</w:t>
            </w:r>
          </w:p>
        </w:tc>
        <w:tc>
          <w:tcPr>
            <w:tcW w:w="3084" w:type="dxa"/>
            <w:gridSpan w:val="6"/>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2002.45</w:t>
            </w:r>
          </w:p>
        </w:tc>
        <w:tc>
          <w:tcPr>
            <w:tcW w:w="3366" w:type="dxa"/>
            <w:gridSpan w:val="7"/>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796" w:type="dxa"/>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5" w:hRule="atLeast"/>
          <w:jc w:val="center"/>
        </w:trPr>
        <w:tc>
          <w:tcPr>
            <w:tcW w:w="9888" w:type="dxa"/>
            <w:gridSpan w:val="18"/>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黑体" w:hAnsi="黑体" w:eastAsia="黑体" w:cs="黑体"/>
                <w:b/>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4" w:hRule="atLeast"/>
          <w:jc w:val="center"/>
        </w:trPr>
        <w:tc>
          <w:tcPr>
            <w:tcW w:w="1426" w:type="dxa"/>
            <w:gridSpan w:val="2"/>
            <w:vMerge w:val="restart"/>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整体支出绩效定性目标及实施计划完成情况</w:t>
            </w:r>
          </w:p>
        </w:tc>
        <w:tc>
          <w:tcPr>
            <w:tcW w:w="4276" w:type="dxa"/>
            <w:gridSpan w:val="7"/>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预期目标</w:t>
            </w:r>
          </w:p>
        </w:tc>
        <w:tc>
          <w:tcPr>
            <w:tcW w:w="4186" w:type="dxa"/>
            <w:gridSpan w:val="9"/>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2"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4276" w:type="dxa"/>
            <w:gridSpan w:val="7"/>
            <w:vAlign w:val="center"/>
          </w:tcPr>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1</w:t>
            </w:r>
            <w:r>
              <w:rPr>
                <w:rFonts w:hint="eastAsia" w:ascii="仿宋_GB2312" w:hAnsi="仿宋_GB2312" w:eastAsia="仿宋_GB2312" w:cs="仿宋_GB2312"/>
                <w:color w:val="000000"/>
                <w:sz w:val="24"/>
                <w:szCs w:val="24"/>
              </w:rPr>
              <w:t>、加强水利工程建设</w:t>
            </w:r>
          </w:p>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2、机实开展防汛抗早</w:t>
            </w:r>
          </w:p>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3、纵深推进"河长制”</w:t>
            </w:r>
          </w:p>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4、持续保障农村饮水安全</w:t>
            </w:r>
          </w:p>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5、不断提升服务水平</w:t>
            </w:r>
          </w:p>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6、管理并监督实施水库移民相关工作</w:t>
            </w:r>
          </w:p>
        </w:tc>
        <w:tc>
          <w:tcPr>
            <w:tcW w:w="4186" w:type="dxa"/>
            <w:gridSpan w:val="9"/>
            <w:vAlign w:val="center"/>
          </w:tcPr>
          <w:p>
            <w:pPr>
              <w:autoSpaceDN w:val="0"/>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1、指导并组织实施库区移民公益性基础 设施建设、清淤村砌等水利工程;</w:t>
            </w:r>
          </w:p>
          <w:p>
            <w:pPr>
              <w:autoSpaceDN w:val="0"/>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2、2019年安全度汛 </w:t>
            </w:r>
          </w:p>
          <w:p>
            <w:pPr>
              <w:autoSpaceDN w:val="0"/>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3、开展中小型河流治理及农村水环境 整治,保护饮用水源</w:t>
            </w:r>
          </w:p>
          <w:p>
            <w:pPr>
              <w:autoSpaceDN w:val="0"/>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4、农村饮水安全进一步巩固提升 </w:t>
            </w:r>
          </w:p>
          <w:p>
            <w:pPr>
              <w:autoSpaceDN w:val="0"/>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5、搞好垸内水系畅通及排涝抗旱工作, 全区防洪大堤、穿堤涵闸维护维管 </w:t>
            </w:r>
          </w:p>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 xml:space="preserve">6、完成库区移民管理工作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5" w:hRule="atLeast"/>
          <w:jc w:val="center"/>
        </w:trPr>
        <w:tc>
          <w:tcPr>
            <w:tcW w:w="1426" w:type="dxa"/>
            <w:gridSpan w:val="2"/>
            <w:vMerge w:val="restart"/>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w:t>
            </w:r>
          </w:p>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绩效定量目标及实施计划完成情况</w:t>
            </w:r>
          </w:p>
        </w:tc>
        <w:tc>
          <w:tcPr>
            <w:tcW w:w="2966"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评价内容</w:t>
            </w: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绩效内容</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w:t>
            </w:r>
          </w:p>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目标值</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restart"/>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产出目标</w:t>
            </w:r>
          </w:p>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（部门工作实绩，即绩效办制定的单位年度考核计分办法中考核的部门工作实绩内容）</w:t>
            </w: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系统全年正常运行</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spacing w:line="400" w:lineRule="exact"/>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高效足额发放腾地移民资金指导、协调移民安置村生产生活、公益性基础设施建设。</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spacing w:line="400" w:lineRule="exact"/>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加强对防洪大堤维护维管，防汛物资及器材的管理，确保安全度汛。</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防汛视频会议系统</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1套</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≤预算费用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山洪灾害防治预警系统</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1套</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≤预算费用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服务移民腾地资金发放</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6756位</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警戒水位以下的防洪大堤日常维护维管</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57.5米</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外排机埠</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46台套</w:t>
            </w:r>
          </w:p>
        </w:tc>
        <w:tc>
          <w:tcPr>
            <w:tcW w:w="1629" w:type="dxa"/>
            <w:gridSpan w:val="4"/>
            <w:vAlign w:val="center"/>
          </w:tcPr>
          <w:p>
            <w:pPr>
              <w:autoSpaceDN w:val="0"/>
              <w:spacing w:line="400" w:lineRule="exact"/>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≤预算费用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内修涵闸</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32处42孔</w:t>
            </w:r>
          </w:p>
        </w:tc>
        <w:tc>
          <w:tcPr>
            <w:tcW w:w="1629" w:type="dxa"/>
            <w:gridSpan w:val="4"/>
            <w:vAlign w:val="center"/>
          </w:tcPr>
          <w:p>
            <w:pPr>
              <w:autoSpaceDN w:val="0"/>
              <w:spacing w:line="400" w:lineRule="exact"/>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≤预算费用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全年网络正常运行</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2021年12月底完成</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汛期安全度汛</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4-9月</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成本指标</w:t>
            </w: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严格管理，控制成本，按预算开支，不超标       </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≤预算费用</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restart"/>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效益目标</w:t>
            </w:r>
          </w:p>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（预期实现的效益）</w:t>
            </w: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社会效益</w:t>
            </w: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全区人民群众生产生活安全有序</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垸内人民安居乐业</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社会和谐稳定</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经济效益</w:t>
            </w: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促进区域经济发展</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生态效益</w:t>
            </w: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守护治理美丽河湖</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加强水资源保护</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保护河道畅通，水土畅通</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6"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restart"/>
            <w:vAlign w:val="center"/>
          </w:tcPr>
          <w:p>
            <w:pPr>
              <w:autoSpaceDN w:val="0"/>
              <w:spacing w:line="400" w:lineRule="exact"/>
              <w:ind w:right="-258" w:rightChars="-123"/>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社会公众或服务对象满意度</w:t>
            </w: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服务对象基本满意</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95%</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0" w:hRule="atLeast"/>
          <w:jc w:val="center"/>
        </w:trPr>
        <w:tc>
          <w:tcPr>
            <w:tcW w:w="1426" w:type="dxa"/>
            <w:gridSpan w:val="2"/>
            <w:vMerge w:val="continue"/>
            <w:vAlign w:val="center"/>
          </w:tcPr>
          <w:p>
            <w:pPr>
              <w:spacing w:line="400" w:lineRule="exact"/>
              <w:rPr>
                <w:rFonts w:ascii="仿宋_GB2312" w:hAnsi="仿宋_GB2312" w:eastAsia="仿宋_GB2312" w:cs="仿宋_GB2312"/>
                <w:sz w:val="24"/>
                <w:szCs w:val="24"/>
              </w:rPr>
            </w:pPr>
          </w:p>
        </w:tc>
        <w:tc>
          <w:tcPr>
            <w:tcW w:w="1549" w:type="dxa"/>
            <w:gridSpan w:val="3"/>
            <w:vMerge w:val="continue"/>
            <w:vAlign w:val="center"/>
          </w:tcPr>
          <w:p>
            <w:pPr>
              <w:autoSpaceDN w:val="0"/>
              <w:spacing w:line="400" w:lineRule="exact"/>
              <w:rPr>
                <w:rFonts w:ascii="仿宋_GB2312" w:hAnsi="仿宋_GB2312" w:eastAsia="仿宋_GB2312" w:cs="仿宋_GB2312"/>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全年无水事纠纷</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Cs/>
                <w:color w:val="000000"/>
                <w:sz w:val="24"/>
                <w:szCs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75"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绩效自评综合得分</w:t>
            </w:r>
          </w:p>
        </w:tc>
        <w:tc>
          <w:tcPr>
            <w:tcW w:w="6913" w:type="dxa"/>
            <w:gridSpan w:val="13"/>
            <w:vAlign w:val="center"/>
          </w:tcPr>
          <w:p>
            <w:pPr>
              <w:autoSpaceDN w:val="0"/>
              <w:spacing w:line="400" w:lineRule="exact"/>
              <w:jc w:val="center"/>
              <w:textAlignment w:val="center"/>
              <w:rPr>
                <w:rFonts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sz w:val="24"/>
                <w:szCs w:val="24"/>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75"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评价等次</w:t>
            </w:r>
          </w:p>
        </w:tc>
        <w:tc>
          <w:tcPr>
            <w:tcW w:w="6913" w:type="dxa"/>
            <w:gridSpan w:val="13"/>
            <w:vAlign w:val="center"/>
          </w:tcPr>
          <w:p>
            <w:pPr>
              <w:autoSpaceDN w:val="0"/>
              <w:spacing w:line="400" w:lineRule="exact"/>
              <w:jc w:val="center"/>
              <w:textAlignment w:val="center"/>
              <w:rPr>
                <w:rFonts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sz w:val="24"/>
                <w:szCs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88" w:type="dxa"/>
            <w:gridSpan w:val="18"/>
            <w:vAlign w:val="center"/>
          </w:tcPr>
          <w:p>
            <w:pPr>
              <w:autoSpaceDN w:val="0"/>
              <w:spacing w:line="400" w:lineRule="exact"/>
              <w:jc w:val="center"/>
              <w:textAlignment w:val="center"/>
              <w:rPr>
                <w:rFonts w:ascii="仿宋_GB2312" w:hAnsi="仿宋_GB2312" w:eastAsia="仿宋_GB2312" w:cs="仿宋_GB2312"/>
                <w:b/>
                <w:color w:val="000000"/>
                <w:sz w:val="24"/>
                <w:szCs w:val="24"/>
              </w:rPr>
            </w:pPr>
            <w:r>
              <w:rPr>
                <w:rFonts w:hint="eastAsia" w:ascii="黑体" w:hAnsi="黑体" w:eastAsia="黑体" w:cs="黑体"/>
                <w:b/>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3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职务/职称</w:t>
            </w:r>
          </w:p>
        </w:tc>
        <w:tc>
          <w:tcPr>
            <w:tcW w:w="2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  位</w:t>
            </w:r>
          </w:p>
        </w:tc>
        <w:tc>
          <w:tcPr>
            <w:tcW w:w="1387"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周晓明</w:t>
            </w:r>
          </w:p>
        </w:tc>
        <w:tc>
          <w:tcPr>
            <w:tcW w:w="3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局  长</w:t>
            </w:r>
          </w:p>
        </w:tc>
        <w:tc>
          <w:tcPr>
            <w:tcW w:w="2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水利局</w:t>
            </w:r>
          </w:p>
        </w:tc>
        <w:tc>
          <w:tcPr>
            <w:tcW w:w="1387"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黄  旭</w:t>
            </w:r>
          </w:p>
        </w:tc>
        <w:tc>
          <w:tcPr>
            <w:tcW w:w="3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副局长</w:t>
            </w:r>
          </w:p>
        </w:tc>
        <w:tc>
          <w:tcPr>
            <w:tcW w:w="2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水利局</w:t>
            </w:r>
          </w:p>
        </w:tc>
        <w:tc>
          <w:tcPr>
            <w:tcW w:w="1387"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柳  洪</w:t>
            </w:r>
          </w:p>
        </w:tc>
        <w:tc>
          <w:tcPr>
            <w:tcW w:w="3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总  工</w:t>
            </w:r>
          </w:p>
        </w:tc>
        <w:tc>
          <w:tcPr>
            <w:tcW w:w="2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宋体" w:hAnsi="宋体" w:eastAsia="宋体" w:cs="宋体"/>
                <w:color w:val="000000"/>
                <w:sz w:val="24"/>
                <w:szCs w:val="24"/>
              </w:rPr>
              <w:t>水利局</w:t>
            </w:r>
          </w:p>
        </w:tc>
        <w:tc>
          <w:tcPr>
            <w:tcW w:w="1387"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3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2799" w:type="dxa"/>
            <w:gridSpan w:val="6"/>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1387"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228" w:hRule="atLeast"/>
          <w:jc w:val="center"/>
        </w:trPr>
        <w:tc>
          <w:tcPr>
            <w:tcW w:w="9888" w:type="dxa"/>
            <w:gridSpan w:val="18"/>
            <w:vAlign w:val="center"/>
          </w:tcPr>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评价组组长（签字）：</w:t>
            </w:r>
          </w:p>
          <w:p>
            <w:pPr>
              <w:autoSpaceDN w:val="0"/>
              <w:spacing w:line="400" w:lineRule="exact"/>
              <w:jc w:val="left"/>
              <w:textAlignment w:val="center"/>
              <w:rPr>
                <w:rFonts w:ascii="仿宋_GB2312" w:hAnsi="仿宋_GB2312" w:eastAsia="仿宋_GB2312" w:cs="仿宋_GB2312"/>
                <w:color w:val="000000"/>
                <w:sz w:val="24"/>
                <w:szCs w:val="24"/>
              </w:rPr>
            </w:pPr>
          </w:p>
          <w:p>
            <w:pPr>
              <w:autoSpaceDN w:val="0"/>
              <w:spacing w:line="400" w:lineRule="exact"/>
              <w:jc w:val="left"/>
              <w:textAlignment w:val="center"/>
              <w:rPr>
                <w:rFonts w:ascii="仿宋_GB2312" w:hAnsi="仿宋_GB2312" w:eastAsia="仿宋_GB2312" w:cs="仿宋_GB2312"/>
                <w:color w:val="000000"/>
                <w:sz w:val="24"/>
                <w:szCs w:val="24"/>
              </w:rPr>
            </w:pPr>
          </w:p>
          <w:p>
            <w:pPr>
              <w:autoSpaceDN w:val="0"/>
              <w:spacing w:line="400" w:lineRule="exact"/>
              <w:jc w:val="left"/>
              <w:textAlignment w:val="center"/>
              <w:rPr>
                <w:rFonts w:ascii="仿宋_GB2312" w:hAnsi="仿宋_GB2312" w:eastAsia="仿宋_GB2312" w:cs="仿宋_GB2312"/>
                <w:color w:val="000000"/>
                <w:sz w:val="24"/>
                <w:szCs w:val="24"/>
              </w:rPr>
            </w:pPr>
          </w:p>
          <w:p>
            <w:pPr>
              <w:autoSpaceDN w:val="0"/>
              <w:spacing w:line="400" w:lineRule="exact"/>
              <w:jc w:val="left"/>
              <w:textAlignment w:val="center"/>
              <w:rPr>
                <w:rFonts w:ascii="仿宋_GB2312" w:hAnsi="仿宋_GB2312" w:eastAsia="仿宋_GB2312" w:cs="仿宋_GB2312"/>
                <w:color w:val="000000"/>
                <w:sz w:val="24"/>
                <w:szCs w:val="24"/>
              </w:rPr>
            </w:pPr>
          </w:p>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523" w:hRule="atLeast"/>
          <w:jc w:val="center"/>
        </w:trPr>
        <w:tc>
          <w:tcPr>
            <w:tcW w:w="9888" w:type="dxa"/>
            <w:gridSpan w:val="18"/>
            <w:vAlign w:val="center"/>
          </w:tcPr>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部门（单位）意见：</w:t>
            </w:r>
          </w:p>
          <w:p>
            <w:pPr>
              <w:autoSpaceDN w:val="0"/>
              <w:spacing w:line="400" w:lineRule="exact"/>
              <w:jc w:val="left"/>
              <w:textAlignment w:val="center"/>
              <w:rPr>
                <w:rFonts w:ascii="仿宋_GB2312" w:hAnsi="仿宋_GB2312" w:eastAsia="仿宋_GB2312" w:cs="仿宋_GB2312"/>
                <w:color w:val="000000"/>
                <w:sz w:val="24"/>
                <w:szCs w:val="24"/>
              </w:rPr>
            </w:pPr>
          </w:p>
          <w:p>
            <w:pPr>
              <w:autoSpaceDN w:val="0"/>
              <w:spacing w:line="400" w:lineRule="exact"/>
              <w:jc w:val="left"/>
              <w:textAlignment w:val="center"/>
              <w:rPr>
                <w:rFonts w:ascii="仿宋_GB2312" w:hAnsi="仿宋_GB2312" w:eastAsia="仿宋_GB2312" w:cs="仿宋_GB2312"/>
                <w:color w:val="000000"/>
                <w:sz w:val="24"/>
                <w:szCs w:val="24"/>
              </w:rPr>
            </w:pPr>
          </w:p>
          <w:p>
            <w:pPr>
              <w:autoSpaceDN w:val="0"/>
              <w:spacing w:line="400" w:lineRule="exact"/>
              <w:jc w:val="left"/>
              <w:textAlignment w:val="center"/>
              <w:rPr>
                <w:rFonts w:ascii="仿宋_GB2312" w:hAnsi="仿宋_GB2312" w:eastAsia="仿宋_GB2312" w:cs="仿宋_GB2312"/>
                <w:color w:val="000000"/>
                <w:sz w:val="24"/>
                <w:szCs w:val="24"/>
              </w:rPr>
            </w:pPr>
          </w:p>
          <w:p>
            <w:pPr>
              <w:autoSpaceDN w:val="0"/>
              <w:spacing w:line="400" w:lineRule="exact"/>
              <w:jc w:val="left"/>
              <w:textAlignment w:val="center"/>
              <w:rPr>
                <w:rFonts w:ascii="仿宋_GB2312" w:hAnsi="仿宋_GB2312" w:eastAsia="仿宋_GB2312" w:cs="仿宋_GB2312"/>
                <w:color w:val="000000"/>
                <w:sz w:val="24"/>
                <w:szCs w:val="24"/>
              </w:rPr>
            </w:pPr>
          </w:p>
          <w:p>
            <w:pPr>
              <w:autoSpaceDN w:val="0"/>
              <w:spacing w:line="400" w:lineRule="exact"/>
              <w:jc w:val="left"/>
              <w:textAlignment w:val="center"/>
              <w:rPr>
                <w:rFonts w:ascii="仿宋_GB2312" w:hAnsi="仿宋_GB2312" w:eastAsia="仿宋_GB2312" w:cs="仿宋_GB2312"/>
                <w:color w:val="000000"/>
                <w:sz w:val="24"/>
                <w:szCs w:val="24"/>
              </w:rPr>
            </w:pPr>
          </w:p>
          <w:p>
            <w:pPr>
              <w:autoSpaceDN w:val="0"/>
              <w:spacing w:line="400" w:lineRule="exact"/>
              <w:jc w:val="left"/>
              <w:textAlignment w:val="center"/>
              <w:rPr>
                <w:rFonts w:ascii="仿宋_GB2312" w:hAnsi="仿宋_GB2312" w:eastAsia="仿宋_GB2312" w:cs="仿宋_GB2312"/>
                <w:color w:val="000000"/>
                <w:sz w:val="24"/>
                <w:szCs w:val="24"/>
              </w:rPr>
            </w:pPr>
          </w:p>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部门（单位）负责人（签字）：</w:t>
            </w:r>
          </w:p>
          <w:p>
            <w:pPr>
              <w:autoSpaceDN w:val="0"/>
              <w:spacing w:line="400" w:lineRule="exact"/>
              <w:jc w:val="left"/>
              <w:textAlignment w:val="center"/>
              <w:rPr>
                <w:rFonts w:ascii="仿宋_GB2312" w:hAnsi="仿宋_GB2312" w:eastAsia="仿宋_GB2312" w:cs="仿宋_GB2312"/>
                <w:color w:val="000000"/>
                <w:sz w:val="24"/>
                <w:szCs w:val="24"/>
              </w:rPr>
            </w:pPr>
          </w:p>
          <w:p>
            <w:pPr>
              <w:autoSpaceDN w:val="0"/>
              <w:spacing w:line="4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p>
            <w:pPr>
              <w:autoSpaceDN w:val="0"/>
              <w:spacing w:line="400" w:lineRule="exact"/>
              <w:jc w:val="left"/>
              <w:textAlignment w:val="center"/>
              <w:rPr>
                <w:rFonts w:ascii="仿宋_GB2312" w:hAnsi="仿宋_GB2312" w:eastAsia="仿宋_GB2312" w:cs="仿宋_GB2312"/>
                <w:color w:val="000000"/>
                <w:sz w:val="24"/>
                <w:szCs w:val="24"/>
              </w:rPr>
            </w:pPr>
          </w:p>
        </w:tc>
      </w:tr>
    </w:tbl>
    <w:p>
      <w:pPr>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填报人（签名）：                          联系电话：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996" w:type="dxa"/>
          </w:tcPr>
          <w:p>
            <w:pPr>
              <w:jc w:val="center"/>
              <w:rPr>
                <w:rFonts w:ascii="黑体" w:hAnsi="黑体" w:eastAsia="黑体" w:cs="黑体"/>
                <w:b/>
                <w:bCs/>
                <w:sz w:val="28"/>
                <w:szCs w:val="28"/>
              </w:rPr>
            </w:pPr>
            <w:r>
              <w:rPr>
                <w:rFonts w:hint="eastAsia" w:ascii="黑体" w:hAnsi="黑体" w:eastAsia="黑体" w:cs="黑体"/>
                <w:b/>
                <w:bCs/>
                <w:sz w:val="28"/>
                <w:szCs w:val="28"/>
              </w:rPr>
              <w:t>五、评价报告综述（文字部分）</w:t>
            </w:r>
          </w:p>
          <w:p>
            <w:pPr>
              <w:spacing w:line="440" w:lineRule="exact"/>
              <w:ind w:firstLine="640" w:firstLineChars="200"/>
              <w:rPr>
                <w:rFonts w:ascii="Times New Roman" w:hAnsi="Times New Roman" w:eastAsia="仿宋_GB2312" w:cs="Times New Roman"/>
                <w:sz w:val="32"/>
                <w:szCs w:val="32"/>
              </w:rPr>
            </w:pPr>
          </w:p>
          <w:p>
            <w:pPr>
              <w:spacing w:line="40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一、单位概况</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（一）单位基本情况</w:t>
            </w:r>
          </w:p>
          <w:p>
            <w:pPr>
              <w:spacing w:line="400" w:lineRule="exact"/>
              <w:rPr>
                <w:rFonts w:ascii="宋体" w:hAnsi="宋体" w:eastAsia="宋体" w:cs="宋体"/>
                <w:bCs/>
                <w:sz w:val="24"/>
                <w:szCs w:val="24"/>
              </w:rPr>
            </w:pPr>
            <w:r>
              <w:rPr>
                <w:rFonts w:hint="eastAsia" w:ascii="仿宋_GB2312" w:hAnsi="仿宋_GB2312" w:eastAsia="仿宋_GB2312" w:cs="仿宋_GB2312"/>
                <w:bCs/>
                <w:sz w:val="28"/>
                <w:szCs w:val="28"/>
              </w:rPr>
              <w:t xml:space="preserve">   </w:t>
            </w:r>
            <w:r>
              <w:rPr>
                <w:rFonts w:hint="eastAsia" w:ascii="宋体" w:hAnsi="宋体" w:eastAsia="宋体" w:cs="宋体"/>
                <w:bCs/>
                <w:sz w:val="24"/>
                <w:szCs w:val="24"/>
              </w:rPr>
              <w:t xml:space="preserve">   1、人员编制</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岳阳市屈原管理区水利局为区管委工作部门，正科级。2021年核定编制共84人，其中局机关行政编制5人，水旱灾害防御中心全额事业编制3人，水利事务中心全额事业编制3人，水政全额事业编制4人，电排总站差额拨款事业编制51人，堤防总站差额事业编制18人。</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2、机构设置</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岳阳市屈原管理区水利局内设机构包括:区水政水资源综合执法大队、区水早灾害防御中心、区水利事务中心、区电力排灌总站及区堤防管理总站共5个。</w:t>
            </w:r>
          </w:p>
          <w:p>
            <w:pPr>
              <w:numPr>
                <w:ilvl w:val="0"/>
                <w:numId w:val="4"/>
              </w:num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单位整体支出规模、使用方向和主要内容、涉及范围等</w:t>
            </w:r>
          </w:p>
          <w:p>
            <w:pPr>
              <w:spacing w:line="400" w:lineRule="exact"/>
              <w:ind w:left="279" w:leftChars="133"/>
              <w:rPr>
                <w:rFonts w:ascii="宋体" w:hAnsi="宋体" w:eastAsia="宋体" w:cs="宋体"/>
                <w:bCs/>
                <w:sz w:val="24"/>
                <w:szCs w:val="24"/>
              </w:rPr>
            </w:pPr>
            <w:r>
              <w:rPr>
                <w:rFonts w:hint="eastAsia" w:ascii="仿宋_GB2312" w:hAnsi="仿宋_GB2312" w:eastAsia="仿宋_GB2312" w:cs="仿宋_GB2312"/>
                <w:bCs/>
                <w:sz w:val="28"/>
                <w:szCs w:val="28"/>
              </w:rPr>
              <w:t xml:space="preserve">   </w:t>
            </w:r>
            <w:r>
              <w:rPr>
                <w:rFonts w:hint="eastAsia" w:ascii="宋体" w:hAnsi="宋体" w:eastAsia="宋体" w:cs="宋体"/>
                <w:bCs/>
                <w:sz w:val="24"/>
                <w:szCs w:val="24"/>
              </w:rPr>
              <w:t>根据《屈原管理区财政局关于批复岳阳市屈原管理区水利局2021年度部门决算的通知》，屈原管理区水利局及二级预算单位年度部门总收支共计2758.89万元，其中一般公共财政预算拨款2482.54万元，政府性基金预算财政拨款276.35万元。</w:t>
            </w:r>
          </w:p>
          <w:p>
            <w:pPr>
              <w:spacing w:line="40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二、单位整体支出管理及使用情况</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400" w:lineRule="exact"/>
              <w:ind w:firstLine="720" w:firstLineChars="300"/>
              <w:rPr>
                <w:rFonts w:ascii="宋体" w:hAnsi="宋体" w:eastAsia="宋体" w:cs="宋体"/>
                <w:bCs/>
                <w:sz w:val="24"/>
                <w:szCs w:val="24"/>
              </w:rPr>
            </w:pPr>
            <w:r>
              <w:rPr>
                <w:rFonts w:hint="eastAsia" w:ascii="宋体" w:hAnsi="宋体" w:eastAsia="宋体" w:cs="宋体"/>
                <w:bCs/>
                <w:sz w:val="24"/>
                <w:szCs w:val="24"/>
              </w:rPr>
              <w:t>1、基本支出</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2021年度基本支出共计1157.6万元，其中人员经费860.74万元，公用支出296.86万元。</w:t>
            </w:r>
          </w:p>
          <w:p>
            <w:pPr>
              <w:spacing w:line="400" w:lineRule="exact"/>
              <w:ind w:firstLine="720" w:firstLineChars="300"/>
              <w:rPr>
                <w:rFonts w:ascii="宋体" w:hAnsi="宋体" w:eastAsia="宋体" w:cs="宋体"/>
                <w:bCs/>
                <w:sz w:val="24"/>
                <w:szCs w:val="24"/>
              </w:rPr>
            </w:pPr>
            <w:r>
              <w:rPr>
                <w:rFonts w:hint="eastAsia" w:ascii="宋体" w:hAnsi="宋体" w:eastAsia="宋体" w:cs="宋体"/>
                <w:bCs/>
                <w:sz w:val="24"/>
                <w:szCs w:val="24"/>
              </w:rPr>
              <w:t>2、项目支出</w:t>
            </w:r>
          </w:p>
          <w:p>
            <w:pPr>
              <w:ind w:firstLine="480" w:firstLineChars="200"/>
              <w:rPr>
                <w:rFonts w:ascii="宋体" w:hAnsi="宋体" w:eastAsia="宋体" w:cs="宋体"/>
                <w:bCs/>
                <w:sz w:val="24"/>
                <w:szCs w:val="24"/>
              </w:rPr>
            </w:pPr>
            <w:r>
              <w:rPr>
                <w:rFonts w:hint="eastAsia" w:ascii="宋体" w:hAnsi="宋体" w:eastAsia="宋体" w:cs="宋体"/>
                <w:bCs/>
                <w:sz w:val="24"/>
                <w:szCs w:val="24"/>
              </w:rPr>
              <w:t>2021年度项目支出共计1601.28万元，主要用于水利工程建设、水利工程运行护、防汛抗旱工作支出、水利执法监督、节能环保-沟渠塘坝清淤、水利工程建设移民经费等。</w:t>
            </w:r>
          </w:p>
          <w:p>
            <w:pPr>
              <w:numPr>
                <w:ilvl w:val="0"/>
                <w:numId w:val="5"/>
              </w:numPr>
              <w:spacing w:line="400" w:lineRule="exact"/>
              <w:ind w:firstLine="560" w:firstLineChars="200"/>
              <w:rPr>
                <w:rFonts w:ascii="黑体" w:hAnsi="黑体" w:eastAsia="黑体" w:cs="黑体"/>
                <w:bCs/>
                <w:sz w:val="28"/>
                <w:szCs w:val="28"/>
              </w:rPr>
            </w:pPr>
            <w:r>
              <w:rPr>
                <w:rFonts w:hint="eastAsia" w:ascii="黑体" w:hAnsi="黑体" w:eastAsia="黑体" w:cs="黑体"/>
                <w:bCs/>
                <w:sz w:val="28"/>
                <w:szCs w:val="28"/>
              </w:rPr>
              <w:t>单位整体支出绩效情况</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1、围绕全区防洪排涝、水资源供给和水环境改善等问题，突出抓好水利冬春修;</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2、做好水利工程项目建设工作。2021年完成或基本完成的项目有周家垅电排项建设、中型灌区节水改造、沟渠疏浚塘坝清淤、库区移民整村推进及水利工程运行维护维管、农村安全饮水巩固提升等，加快工程建设;</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3、牢牢抓紧防汛抗早。紧紧围绕“外保安全、内保半收”的总目标，严格落实各项防汛抗早工作责任制强化而情、水情研判，科学编制、完防讯、度汛、调水等方案，确保安全度讯。合理调度水库、江河等普水工程，合理利用雨洪资源，保障农业生产、生活用水，认真组织落实做好汛期检查、落实防讯责任，强化防讯保障。暖职尽责，倾力投入防讯工作;</w:t>
            </w:r>
          </w:p>
          <w:p>
            <w:pPr>
              <w:tabs>
                <w:tab w:val="left" w:pos="867"/>
              </w:tabs>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4、纵深推进河长制。2021年是河长制湖长制工作的攻坚之年。我局深入开展中小河流域水环境整治及农村水环境整治，改善水生态环境质量。进一步推进工业企业、畜禽养殖、水产养殖、农业面源等污染治理，加强饮用水水源保护区内违法建筑和排污口清理，开展饮用水源规范化建设;</w:t>
            </w:r>
          </w:p>
          <w:p>
            <w:pPr>
              <w:tabs>
                <w:tab w:val="left" w:pos="867"/>
              </w:tabs>
              <w:spacing w:line="400" w:lineRule="exact"/>
              <w:ind w:firstLine="720" w:firstLineChars="300"/>
              <w:rPr>
                <w:rFonts w:ascii="宋体" w:hAnsi="宋体" w:eastAsia="宋体" w:cs="宋体"/>
                <w:bCs/>
                <w:sz w:val="24"/>
                <w:szCs w:val="24"/>
              </w:rPr>
            </w:pPr>
            <w:r>
              <w:rPr>
                <w:rFonts w:hint="eastAsia" w:ascii="宋体" w:hAnsi="宋体" w:eastAsia="宋体" w:cs="宋体"/>
                <w:bCs/>
                <w:sz w:val="24"/>
                <w:szCs w:val="24"/>
              </w:rPr>
              <w:t>5、持续保障安全饮水。一是加快对供水厂及供水点水质净化消毒设备的安装;二是全力推进凤凰乡凤凰村、河泊潭村饮水安全巩固提升工程;三是对河市镇金塘村、寺坪村、大湾村原八队进行管网改造，对使用摇井的用户进行管网安装入户。</w:t>
            </w:r>
          </w:p>
        </w:tc>
      </w:tr>
    </w:tbl>
    <w:p>
      <w:pPr>
        <w:ind w:right="325" w:rightChars="155"/>
        <w:rPr>
          <w:rFonts w:ascii="Times New Roman" w:hAnsi="Times New Roman" w:eastAsia="仿宋_GB2312" w:cs="Times New Roman"/>
          <w:bCs/>
          <w:sz w:val="32"/>
          <w:szCs w:val="32"/>
        </w:rPr>
      </w:pPr>
      <w:r>
        <w:rPr>
          <w:rFonts w:ascii="Times New Roman" w:hAnsi="Times New Roman" w:eastAsia="楷体_GB2312" w:cs="Times New Roman"/>
          <w:bCs/>
          <w:sz w:val="28"/>
          <w:szCs w:val="28"/>
        </w:rPr>
        <w:br w:type="page"/>
      </w:r>
      <w:r>
        <w:rPr>
          <w:rFonts w:hint="eastAsia" w:ascii="Times New Roman" w:hAnsi="Times New Roman" w:eastAsia="黑体" w:cs="黑体"/>
          <w:bCs/>
          <w:sz w:val="32"/>
          <w:szCs w:val="32"/>
        </w:rPr>
        <w:t>附件2</w:t>
      </w:r>
    </w:p>
    <w:p>
      <w:pPr>
        <w:snapToGrid w:val="0"/>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岳阳市部门（单位）整体支出绩效评价</w:t>
      </w:r>
    </w:p>
    <w:p>
      <w:pPr>
        <w:snapToGrid w:val="0"/>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自评报告填报说明</w:t>
      </w:r>
    </w:p>
    <w:p>
      <w:pPr>
        <w:keepNext/>
        <w:keepLines/>
        <w:spacing w:line="400" w:lineRule="exact"/>
        <w:ind w:firstLine="200" w:firstLineChars="200"/>
        <w:outlineLvl w:val="1"/>
        <w:rPr>
          <w:rFonts w:ascii="Times New Roman" w:hAnsi="Times New Roman" w:eastAsia="黑体" w:cs="Times New Roman"/>
          <w:bCs/>
          <w:sz w:val="10"/>
          <w:szCs w:val="10"/>
        </w:rPr>
      </w:pPr>
    </w:p>
    <w:p>
      <w:pPr>
        <w:keepNext/>
        <w:keepLines/>
        <w:snapToGrid w:val="0"/>
        <w:spacing w:line="360" w:lineRule="auto"/>
        <w:ind w:left="422" w:leftChars="201" w:firstLine="640" w:firstLineChars="200"/>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一、绩效评价自评报告由部门（单位）评价组填写，所有内容必须客观、真实、准确。</w:t>
      </w:r>
    </w:p>
    <w:p>
      <w:pPr>
        <w:keepNext/>
        <w:keepLines/>
        <w:snapToGrid w:val="0"/>
        <w:spacing w:line="360" w:lineRule="auto"/>
        <w:ind w:firstLine="640" w:firstLineChars="200"/>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二、封面填写</w:t>
      </w:r>
    </w:p>
    <w:p>
      <w:pPr>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楷体_GB2312"/>
          <w:b/>
          <w:sz w:val="32"/>
          <w:szCs w:val="32"/>
        </w:rPr>
        <w:t>1、</w:t>
      </w:r>
      <w:r>
        <w:rPr>
          <w:rFonts w:hint="eastAsia" w:ascii="Times New Roman" w:hAnsi="Times New Roman" w:eastAsia="楷体_GB2312" w:cs="楷体_GB2312"/>
          <w:b/>
          <w:color w:val="000000"/>
          <w:sz w:val="32"/>
          <w:szCs w:val="32"/>
        </w:rPr>
        <w:t>年度：</w:t>
      </w:r>
      <w:r>
        <w:rPr>
          <w:rFonts w:ascii="Times New Roman" w:hAnsi="Times New Roman" w:eastAsia="仿宋_GB2312" w:cs="Times New Roman"/>
          <w:kern w:val="0"/>
          <w:sz w:val="32"/>
          <w:szCs w:val="32"/>
        </w:rPr>
        <w:t>填写</w:t>
      </w:r>
      <w:r>
        <w:rPr>
          <w:rFonts w:hint="eastAsia" w:ascii="Times New Roman" w:hAnsi="Times New Roman" w:eastAsia="仿宋_GB2312" w:cs="Times New Roman"/>
          <w:kern w:val="0"/>
          <w:sz w:val="32"/>
          <w:szCs w:val="32"/>
        </w:rPr>
        <w:t>被评价的部门（单位）整体支出</w:t>
      </w:r>
      <w:r>
        <w:rPr>
          <w:rFonts w:ascii="Times New Roman" w:hAnsi="Times New Roman" w:eastAsia="仿宋_GB2312" w:cs="Times New Roman"/>
          <w:kern w:val="0"/>
          <w:sz w:val="32"/>
          <w:szCs w:val="32"/>
        </w:rPr>
        <w:t>所属的年份。</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楷体_GB2312" w:cs="楷体_GB2312"/>
          <w:b/>
          <w:sz w:val="32"/>
          <w:szCs w:val="32"/>
        </w:rPr>
        <w:t>2、部门（单位）名称：</w:t>
      </w:r>
      <w:r>
        <w:rPr>
          <w:rFonts w:hint="eastAsia" w:ascii="Times New Roman" w:hAnsi="Times New Roman" w:eastAsia="仿宋_GB2312" w:cs="Times New Roman"/>
          <w:kern w:val="0"/>
          <w:sz w:val="32"/>
          <w:szCs w:val="32"/>
        </w:rPr>
        <w:t>按照规范</w:t>
      </w:r>
      <w:r>
        <w:rPr>
          <w:rFonts w:hint="eastAsia" w:ascii="Times New Roman" w:hAnsi="Times New Roman" w:eastAsia="仿宋_GB2312" w:cs="Times New Roman"/>
          <w:sz w:val="32"/>
          <w:szCs w:val="32"/>
        </w:rPr>
        <w:t>填写预算部门（单位）全称。</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楷体_GB2312" w:cs="楷体_GB2312"/>
          <w:b/>
          <w:sz w:val="32"/>
          <w:szCs w:val="32"/>
        </w:rPr>
        <w:t>3、预算编码：</w:t>
      </w:r>
      <w:r>
        <w:rPr>
          <w:rFonts w:hint="eastAsia" w:ascii="Times New Roman" w:hAnsi="Times New Roman" w:eastAsia="仿宋_GB2312" w:cs="Times New Roman"/>
          <w:bCs/>
          <w:sz w:val="32"/>
          <w:szCs w:val="32"/>
        </w:rPr>
        <w:t>按照规范填写单位财政预算编码。</w:t>
      </w:r>
    </w:p>
    <w:p>
      <w:pPr>
        <w:adjustRightInd w:val="0"/>
        <w:snapToGrid w:val="0"/>
        <w:spacing w:line="360" w:lineRule="auto"/>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三、绩效评价自评报告表格内容填写</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楷体_GB2312" w:cs="Times New Roman"/>
          <w:b/>
          <w:sz w:val="32"/>
          <w:szCs w:val="32"/>
        </w:rPr>
        <w:t>1、人员编制：</w:t>
      </w:r>
      <w:r>
        <w:rPr>
          <w:rFonts w:hint="eastAsia" w:ascii="Times New Roman" w:hAnsi="Times New Roman" w:eastAsia="仿宋_GB2312" w:cs="Times New Roman"/>
          <w:bCs/>
          <w:sz w:val="32"/>
          <w:szCs w:val="32"/>
        </w:rPr>
        <w:t>填列截至被评价年度12月底三定方案规定的人员编制数。</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楷体_GB2312" w:cs="Times New Roman"/>
          <w:b/>
          <w:sz w:val="32"/>
          <w:szCs w:val="32"/>
        </w:rPr>
        <w:t>2、实有人数：</w:t>
      </w:r>
      <w:r>
        <w:rPr>
          <w:rFonts w:hint="eastAsia" w:ascii="仿宋_GB2312" w:hAnsi="仿宋_GB2312" w:eastAsia="仿宋_GB2312" w:cs="仿宋_GB2312"/>
          <w:bCs/>
          <w:sz w:val="32"/>
          <w:szCs w:val="32"/>
        </w:rPr>
        <w:t>填列</w:t>
      </w:r>
      <w:r>
        <w:rPr>
          <w:rFonts w:hint="eastAsia" w:ascii="Times New Roman" w:hAnsi="Times New Roman" w:eastAsia="仿宋_GB2312" w:cs="Times New Roman"/>
          <w:bCs/>
          <w:sz w:val="32"/>
          <w:szCs w:val="32"/>
        </w:rPr>
        <w:t>截至被评价年度12月底的实有人数</w:t>
      </w:r>
      <w:r>
        <w:rPr>
          <w:rFonts w:hint="eastAsia" w:ascii="仿宋_GB2312" w:hAnsi="仿宋_GB2312" w:eastAsia="仿宋_GB2312" w:cs="仿宋_GB2312"/>
          <w:bCs/>
          <w:sz w:val="32"/>
          <w:szCs w:val="32"/>
        </w:rPr>
        <w:t>。</w:t>
      </w:r>
    </w:p>
    <w:p>
      <w:pPr>
        <w:snapToGrid w:val="0"/>
        <w:spacing w:line="360" w:lineRule="auto"/>
        <w:ind w:firstLine="645"/>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3、部门（单位）职能职责概述：</w:t>
      </w:r>
      <w:r>
        <w:rPr>
          <w:rFonts w:hint="eastAsia" w:ascii="仿宋_GB2312" w:hAnsi="仿宋_GB2312" w:eastAsia="仿宋_GB2312" w:cs="仿宋_GB2312"/>
          <w:color w:val="000000"/>
          <w:sz w:val="32"/>
          <w:szCs w:val="32"/>
          <w:shd w:val="clear" w:color="auto" w:fill="FFFFFF"/>
        </w:rPr>
        <w:t>根据人事部门（单位）核定的部门（单位）职责和本部门（单位）工作计划，对部门（单位）业务工作的基本情况进行简要描述，可以包括部门（单位）主要业务介绍、工作目标等内容。</w:t>
      </w:r>
    </w:p>
    <w:p>
      <w:pPr>
        <w:snapToGrid w:val="0"/>
        <w:spacing w:line="360" w:lineRule="auto"/>
        <w:ind w:firstLine="614" w:firstLineChars="192"/>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4、年度主要工作内容：</w:t>
      </w:r>
      <w:r>
        <w:rPr>
          <w:rFonts w:hint="eastAsia" w:ascii="Times New Roman" w:hAnsi="Times New Roman" w:eastAsia="仿宋_GB2312" w:cs="Times New Roman"/>
          <w:sz w:val="32"/>
          <w:szCs w:val="32"/>
        </w:rPr>
        <w:t>分任务明细填报年度主要工作内容，如各子任务名称、内容及用途、金额及计划实施时间等。</w:t>
      </w: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Times New Roman" w:hAnsi="Times New Roman" w:eastAsia="楷体_GB2312" w:cs="Times New Roman"/>
          <w:b/>
          <w:sz w:val="32"/>
          <w:szCs w:val="32"/>
        </w:rPr>
        <w:t>5、年度部门（单位）总体运行情况及取得的成绩：</w:t>
      </w:r>
      <w:r>
        <w:rPr>
          <w:rFonts w:hint="eastAsia" w:ascii="仿宋_GB2312" w:hAnsi="仿宋_GB2312" w:eastAsia="仿宋_GB2312" w:cs="仿宋_GB2312"/>
          <w:bCs/>
          <w:sz w:val="32"/>
          <w:szCs w:val="32"/>
        </w:rPr>
        <w:t>简述被评价年度本部门（单位）的总体运行情况，罗列取得的成绩。</w:t>
      </w:r>
    </w:p>
    <w:p>
      <w:pPr>
        <w:adjustRightInd w:val="0"/>
        <w:snapToGrid w:val="0"/>
        <w:spacing w:line="360" w:lineRule="auto"/>
        <w:ind w:firstLine="640"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6、部门（单位）收支情况：</w:t>
      </w:r>
      <w:r>
        <w:rPr>
          <w:rFonts w:hint="eastAsia" w:ascii="仿宋_GB2312" w:hAnsi="仿宋_GB2312" w:eastAsia="仿宋_GB2312" w:cs="仿宋_GB2312"/>
          <w:bCs/>
          <w:sz w:val="32"/>
          <w:szCs w:val="32"/>
        </w:rPr>
        <w:t>详细列出被评价年度本部门（单位）的收支明细，需包含二级机构的收支内容。</w:t>
      </w:r>
    </w:p>
    <w:p>
      <w:pPr>
        <w:adjustRightInd w:val="0"/>
        <w:snapToGrid w:val="0"/>
        <w:spacing w:line="360" w:lineRule="auto"/>
        <w:ind w:firstLine="640"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7、部门（单位）整体支出绩效定性目标及实施计划完成情况：</w:t>
      </w:r>
      <w:r>
        <w:rPr>
          <w:rFonts w:hint="eastAsia" w:ascii="仿宋_GB2312" w:hAnsi="仿宋_GB2312" w:eastAsia="仿宋_GB2312" w:cs="仿宋_GB2312"/>
          <w:bCs/>
          <w:sz w:val="32"/>
          <w:szCs w:val="32"/>
        </w:rPr>
        <w:t>“预期</w:t>
      </w:r>
      <w:r>
        <w:rPr>
          <w:rFonts w:hint="eastAsia" w:ascii="Times New Roman" w:hAnsi="Times New Roman" w:eastAsia="仿宋_GB2312" w:cs="Times New Roman"/>
          <w:sz w:val="32"/>
          <w:szCs w:val="32"/>
        </w:rPr>
        <w:t>目标”栏按被评价年度申报的《部门（单位）整体预算绩效目标申报表》的有关内容直接填写，如年初没有申报绩效目标，可参考本部门（单位）年度工作计划。“实际完成”栏，则按照主要填写绩效目标及实施计划的实际完成情况，应与“预期目标”栏相关内容逐条对应。</w:t>
      </w:r>
    </w:p>
    <w:p>
      <w:pPr>
        <w:adjustRightInd w:val="0"/>
        <w:snapToGrid w:val="0"/>
        <w:spacing w:line="360" w:lineRule="auto"/>
        <w:ind w:firstLine="640"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8、部门（单位）整体支出绩效定量目标及实施计划完成情况：</w:t>
      </w:r>
      <w:r>
        <w:rPr>
          <w:rFonts w:hint="eastAsia" w:ascii="Times New Roman" w:hAnsi="Times New Roman" w:eastAsia="仿宋_GB2312" w:cs="仿宋_GB2312"/>
          <w:bCs/>
          <w:sz w:val="32"/>
          <w:szCs w:val="32"/>
        </w:rPr>
        <w:t>对部门（单位）整体支出绩效目标进行细化和量化。本部分内容与附件4《部门（单位）整体支出绩效评价指标体系（参考样表）》中的“产出”指标和“效果”指标相对应，如修改调整了该指标体系，应相应修改本部分指标内容。“实际完成值”栏主要填写项目指标的实际完成情况，应与“指标内容”、“指标（目标）值”栏相关内容逐条对应。</w:t>
      </w:r>
    </w:p>
    <w:p>
      <w:pPr>
        <w:adjustRightInd w:val="0"/>
        <w:snapToGrid w:val="0"/>
        <w:spacing w:line="360" w:lineRule="auto"/>
        <w:ind w:firstLine="640" w:firstLineChars="200"/>
        <w:rPr>
          <w:rFonts w:ascii="Times New Roman" w:hAnsi="Times New Roman" w:eastAsia="仿宋_GB2312" w:cs="仿宋_GB2312"/>
          <w:bCs/>
          <w:sz w:val="32"/>
          <w:szCs w:val="32"/>
        </w:rPr>
      </w:pPr>
      <w:r>
        <w:rPr>
          <w:rFonts w:hint="eastAsia" w:ascii="Times New Roman" w:hAnsi="Times New Roman" w:eastAsia="楷体_GB2312" w:cs="Times New Roman"/>
          <w:b/>
          <w:sz w:val="32"/>
          <w:szCs w:val="32"/>
        </w:rPr>
        <w:t>9、绩效自评综合得分：</w:t>
      </w:r>
      <w:r>
        <w:rPr>
          <w:rFonts w:hint="eastAsia" w:ascii="Times New Roman" w:hAnsi="Times New Roman" w:eastAsia="仿宋_GB2312" w:cs="仿宋_GB2312"/>
          <w:bCs/>
          <w:sz w:val="32"/>
          <w:szCs w:val="32"/>
        </w:rPr>
        <w:t>对照附件4《部门（单位）整体支出绩效评价指标体系（参考样表）》打分后填写附件5《岳阳市项目支出绩效评价自评表》，按照最后综合得分填写“绩效自评综合得分”栏。</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楷体_GB2312" w:cs="Times New Roman"/>
          <w:b/>
          <w:sz w:val="32"/>
          <w:szCs w:val="32"/>
        </w:rPr>
        <w:t>10、评价等次：</w:t>
      </w:r>
      <w:r>
        <w:rPr>
          <w:rFonts w:hint="eastAsia" w:ascii="Times New Roman" w:hAnsi="Times New Roman" w:eastAsia="仿宋_GB2312" w:cs="Times New Roman"/>
          <w:bCs/>
          <w:sz w:val="32"/>
          <w:szCs w:val="32"/>
        </w:rPr>
        <w:t>按照综合得分（S）的分值填写相应的评价等次。评价等次分为优秀（S≥90）、良好（90＞S≥80）、合格（80＞S≥70）、不合格（S＜70）4个评价等次。</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楷体_GB2312" w:cs="Times New Roman"/>
          <w:b/>
          <w:sz w:val="32"/>
          <w:szCs w:val="32"/>
        </w:rPr>
        <w:t>11、评价人员：</w:t>
      </w:r>
      <w:r>
        <w:rPr>
          <w:rFonts w:hint="eastAsia" w:ascii="Times New Roman" w:hAnsi="Times New Roman" w:eastAsia="仿宋_GB2312" w:cs="Times New Roman"/>
          <w:bCs/>
          <w:sz w:val="32"/>
          <w:szCs w:val="32"/>
        </w:rPr>
        <w:t>填写参与部门（单位）整体支出绩效评价的绩效评价工作小组成员名单，并由本人签字。</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楷体_GB2312" w:cs="Times New Roman"/>
          <w:b/>
          <w:sz w:val="32"/>
          <w:szCs w:val="32"/>
        </w:rPr>
        <w:t>12、部门（单位）意见：</w:t>
      </w:r>
      <w:r>
        <w:rPr>
          <w:rFonts w:hint="eastAsia" w:ascii="Times New Roman" w:hAnsi="Times New Roman" w:eastAsia="仿宋_GB2312" w:cs="Times New Roman"/>
          <w:bCs/>
          <w:sz w:val="32"/>
          <w:szCs w:val="32"/>
        </w:rPr>
        <w:t>被评价部门（单位）签署意见，由部门（单位）负责人签字后加盖行政公章。</w:t>
      </w:r>
    </w:p>
    <w:p>
      <w:pPr>
        <w:keepNext/>
        <w:keepLines/>
        <w:snapToGrid w:val="0"/>
        <w:spacing w:line="360" w:lineRule="auto"/>
        <w:ind w:firstLine="640" w:firstLineChars="200"/>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四、自评报告综述（文字部分）</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评价组应根据下列提纲对各项内容进行详细说明：</w:t>
      </w:r>
    </w:p>
    <w:p>
      <w:pPr>
        <w:adjustRightInd w:val="0"/>
        <w:snapToGrid w:val="0"/>
        <w:spacing w:line="360" w:lineRule="auto"/>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（一）部门（单位）概况</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1、部门（单位）基本情况（包括部门（单位）的在职人员情况、机构设置、主要职能及重点工作计划等）。</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2、部门（单位）整体支出规模、使用方向和主要内容、涉及范围等。</w:t>
      </w:r>
    </w:p>
    <w:p>
      <w:pPr>
        <w:adjustRightInd w:val="0"/>
        <w:snapToGrid w:val="0"/>
        <w:spacing w:line="360" w:lineRule="auto"/>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（二）部门（单位）整体支出管理及使用情况</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1、基本支出</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介绍基本支出的主要用途、范围以及资金的管理情况，尤其是“三公”经费的使用和管理情况。</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2、专项支出</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（1）专项资金（包括财政资金、自筹资金等）安排落实、总投入等情况分析。</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（2）专项资金（主要指财政资金）实际使用情况分析。</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（3）专项资金管理情况分析，主要包括管理制度、办法的制订及执行情况。</w:t>
      </w:r>
    </w:p>
    <w:p>
      <w:pPr>
        <w:adjustRightInd w:val="0"/>
        <w:snapToGrid w:val="0"/>
        <w:spacing w:line="360" w:lineRule="auto"/>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（三）部门（单位）专项组织实施情况</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1、专项组织情况分析，主要包括项目招投标、调整、竣工验收等情况。</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2、专项管理情况分析，主要包括项目管理制度建设、日常检查监督管理等情况。</w:t>
      </w:r>
    </w:p>
    <w:p>
      <w:pPr>
        <w:adjustRightInd w:val="0"/>
        <w:snapToGrid w:val="0"/>
        <w:spacing w:line="360" w:lineRule="auto"/>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（四）部门（单位）整体支出绩效情况</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反映部门（单位）履职及履职效益情况。主要从部门（单位）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单位）整体支出使用效果的个性指标进行分析；可持续性分析主要是对支出完成后，后续政策、资金、人员机构安排和管理措施等影响项目持续发展的因素进行分析。</w:t>
      </w:r>
    </w:p>
    <w:p>
      <w:pPr>
        <w:adjustRightInd w:val="0"/>
        <w:snapToGrid w:val="0"/>
        <w:spacing w:line="360" w:lineRule="auto"/>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（五）存在的主要问题</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主要阐述资金安排、使用过程中存在的问题</w:t>
      </w:r>
    </w:p>
    <w:p>
      <w:pPr>
        <w:adjustRightInd w:val="0"/>
        <w:snapToGrid w:val="0"/>
        <w:spacing w:line="360" w:lineRule="auto"/>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（六）改进措施和有关建议</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对存在的问题提出切实可行的改进措施和有关建议等。</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5A414"/>
    <w:multiLevelType w:val="singleLevel"/>
    <w:tmpl w:val="8A15A414"/>
    <w:lvl w:ilvl="0" w:tentative="0">
      <w:start w:val="2"/>
      <w:numFmt w:val="chineseCounting"/>
      <w:suff w:val="nothing"/>
      <w:lvlText w:val="%1、"/>
      <w:lvlJc w:val="left"/>
      <w:rPr>
        <w:rFonts w:hint="eastAsia"/>
      </w:rPr>
    </w:lvl>
  </w:abstractNum>
  <w:abstractNum w:abstractNumId="1">
    <w:nsid w:val="B16A298D"/>
    <w:multiLevelType w:val="singleLevel"/>
    <w:tmpl w:val="B16A298D"/>
    <w:lvl w:ilvl="0" w:tentative="0">
      <w:start w:val="9"/>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02B524"/>
    <w:multiLevelType w:val="singleLevel"/>
    <w:tmpl w:val="5A02B524"/>
    <w:lvl w:ilvl="0" w:tentative="0">
      <w:start w:val="2"/>
      <w:numFmt w:val="chineseCounting"/>
      <w:suff w:val="nothing"/>
      <w:lvlText w:val="（%1）"/>
      <w:lvlJc w:val="left"/>
    </w:lvl>
  </w:abstractNum>
  <w:abstractNum w:abstractNumId="4">
    <w:nsid w:val="5A02B91B"/>
    <w:multiLevelType w:val="singleLevel"/>
    <w:tmpl w:val="5A02B91B"/>
    <w:lvl w:ilvl="0" w:tentative="0">
      <w:start w:val="3"/>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E4NDVhOGJlN2ZlZTYzNjBhMDEzYTM4MTcyYmU4MDIifQ=="/>
  </w:docVars>
  <w:rsids>
    <w:rsidRoot w:val="004506F9"/>
    <w:rsid w:val="0002229B"/>
    <w:rsid w:val="000273BD"/>
    <w:rsid w:val="000415B7"/>
    <w:rsid w:val="00041E3F"/>
    <w:rsid w:val="00053D7A"/>
    <w:rsid w:val="00055DAA"/>
    <w:rsid w:val="00061F7B"/>
    <w:rsid w:val="000658A3"/>
    <w:rsid w:val="00074155"/>
    <w:rsid w:val="000873EF"/>
    <w:rsid w:val="00093444"/>
    <w:rsid w:val="000A3F69"/>
    <w:rsid w:val="000C2ED1"/>
    <w:rsid w:val="000E7A03"/>
    <w:rsid w:val="00101A0A"/>
    <w:rsid w:val="00103957"/>
    <w:rsid w:val="001203FA"/>
    <w:rsid w:val="001208E6"/>
    <w:rsid w:val="0012208B"/>
    <w:rsid w:val="00124A1F"/>
    <w:rsid w:val="001430E5"/>
    <w:rsid w:val="00152C6D"/>
    <w:rsid w:val="00162D39"/>
    <w:rsid w:val="001678BD"/>
    <w:rsid w:val="00182373"/>
    <w:rsid w:val="001A5A3A"/>
    <w:rsid w:val="001A67DB"/>
    <w:rsid w:val="001B22D8"/>
    <w:rsid w:val="001C3C29"/>
    <w:rsid w:val="001C581D"/>
    <w:rsid w:val="001D51E5"/>
    <w:rsid w:val="001D6149"/>
    <w:rsid w:val="001E080D"/>
    <w:rsid w:val="001E53D0"/>
    <w:rsid w:val="001F0C3B"/>
    <w:rsid w:val="001F25BB"/>
    <w:rsid w:val="00201FAC"/>
    <w:rsid w:val="00202C14"/>
    <w:rsid w:val="00202C82"/>
    <w:rsid w:val="002138A1"/>
    <w:rsid w:val="00214427"/>
    <w:rsid w:val="002173D3"/>
    <w:rsid w:val="002217D0"/>
    <w:rsid w:val="00226CB7"/>
    <w:rsid w:val="0023204D"/>
    <w:rsid w:val="002543ED"/>
    <w:rsid w:val="002635B8"/>
    <w:rsid w:val="00264552"/>
    <w:rsid w:val="00264EF9"/>
    <w:rsid w:val="002652A2"/>
    <w:rsid w:val="00265724"/>
    <w:rsid w:val="0027426B"/>
    <w:rsid w:val="002768F7"/>
    <w:rsid w:val="002C56C0"/>
    <w:rsid w:val="002E0A30"/>
    <w:rsid w:val="003130C4"/>
    <w:rsid w:val="00316C4B"/>
    <w:rsid w:val="0032192B"/>
    <w:rsid w:val="003419F9"/>
    <w:rsid w:val="003479BD"/>
    <w:rsid w:val="0037197D"/>
    <w:rsid w:val="003768D5"/>
    <w:rsid w:val="003C4197"/>
    <w:rsid w:val="003C47E6"/>
    <w:rsid w:val="003C4FC2"/>
    <w:rsid w:val="003E2331"/>
    <w:rsid w:val="003E43C4"/>
    <w:rsid w:val="003E6135"/>
    <w:rsid w:val="00416E61"/>
    <w:rsid w:val="004177B2"/>
    <w:rsid w:val="0042790C"/>
    <w:rsid w:val="004504D1"/>
    <w:rsid w:val="004506F9"/>
    <w:rsid w:val="004717A2"/>
    <w:rsid w:val="00473DF3"/>
    <w:rsid w:val="00487911"/>
    <w:rsid w:val="00491741"/>
    <w:rsid w:val="004B0CEE"/>
    <w:rsid w:val="004C5727"/>
    <w:rsid w:val="004C6D03"/>
    <w:rsid w:val="004E67EA"/>
    <w:rsid w:val="004F517C"/>
    <w:rsid w:val="00500E5F"/>
    <w:rsid w:val="00504D71"/>
    <w:rsid w:val="00507FE0"/>
    <w:rsid w:val="005122EF"/>
    <w:rsid w:val="0051441A"/>
    <w:rsid w:val="00516812"/>
    <w:rsid w:val="00517C33"/>
    <w:rsid w:val="00517D5F"/>
    <w:rsid w:val="00521AF2"/>
    <w:rsid w:val="00523644"/>
    <w:rsid w:val="00534EE7"/>
    <w:rsid w:val="0054069E"/>
    <w:rsid w:val="00544866"/>
    <w:rsid w:val="00551964"/>
    <w:rsid w:val="00561029"/>
    <w:rsid w:val="005767CC"/>
    <w:rsid w:val="00590D9F"/>
    <w:rsid w:val="00594023"/>
    <w:rsid w:val="00595D26"/>
    <w:rsid w:val="005A74E6"/>
    <w:rsid w:val="005B404E"/>
    <w:rsid w:val="005B734D"/>
    <w:rsid w:val="005D4D55"/>
    <w:rsid w:val="005E2CFB"/>
    <w:rsid w:val="005F2103"/>
    <w:rsid w:val="005F3D1C"/>
    <w:rsid w:val="0062378F"/>
    <w:rsid w:val="00641842"/>
    <w:rsid w:val="00651EEC"/>
    <w:rsid w:val="0065534C"/>
    <w:rsid w:val="00664BB8"/>
    <w:rsid w:val="006720B4"/>
    <w:rsid w:val="00686673"/>
    <w:rsid w:val="00691E8C"/>
    <w:rsid w:val="00693541"/>
    <w:rsid w:val="006A22C4"/>
    <w:rsid w:val="006A348B"/>
    <w:rsid w:val="006A351B"/>
    <w:rsid w:val="006A50F5"/>
    <w:rsid w:val="006A54F1"/>
    <w:rsid w:val="006B0422"/>
    <w:rsid w:val="006C1B53"/>
    <w:rsid w:val="006C7ECD"/>
    <w:rsid w:val="006D7730"/>
    <w:rsid w:val="006E5284"/>
    <w:rsid w:val="006F3EB5"/>
    <w:rsid w:val="006F480E"/>
    <w:rsid w:val="00702E34"/>
    <w:rsid w:val="00704395"/>
    <w:rsid w:val="00710FE7"/>
    <w:rsid w:val="00717621"/>
    <w:rsid w:val="00720395"/>
    <w:rsid w:val="00720FF1"/>
    <w:rsid w:val="00727A53"/>
    <w:rsid w:val="00730BBE"/>
    <w:rsid w:val="00735EE7"/>
    <w:rsid w:val="00787B42"/>
    <w:rsid w:val="007B1F00"/>
    <w:rsid w:val="007C4539"/>
    <w:rsid w:val="007F3657"/>
    <w:rsid w:val="00804F70"/>
    <w:rsid w:val="00812ED5"/>
    <w:rsid w:val="008277D9"/>
    <w:rsid w:val="0084478C"/>
    <w:rsid w:val="0086638C"/>
    <w:rsid w:val="008A3E8D"/>
    <w:rsid w:val="008A666C"/>
    <w:rsid w:val="008B2323"/>
    <w:rsid w:val="0091231B"/>
    <w:rsid w:val="009237C4"/>
    <w:rsid w:val="00944C48"/>
    <w:rsid w:val="00950252"/>
    <w:rsid w:val="00953421"/>
    <w:rsid w:val="00963728"/>
    <w:rsid w:val="00967F5D"/>
    <w:rsid w:val="009965ED"/>
    <w:rsid w:val="0099690D"/>
    <w:rsid w:val="009A0F95"/>
    <w:rsid w:val="009A1C71"/>
    <w:rsid w:val="009B3ADF"/>
    <w:rsid w:val="009C3B52"/>
    <w:rsid w:val="009E6817"/>
    <w:rsid w:val="009E6E9A"/>
    <w:rsid w:val="00A01D2B"/>
    <w:rsid w:val="00A20163"/>
    <w:rsid w:val="00A42218"/>
    <w:rsid w:val="00A44386"/>
    <w:rsid w:val="00A54319"/>
    <w:rsid w:val="00A636A5"/>
    <w:rsid w:val="00A70249"/>
    <w:rsid w:val="00A70B02"/>
    <w:rsid w:val="00A71D9F"/>
    <w:rsid w:val="00A76511"/>
    <w:rsid w:val="00A92E9F"/>
    <w:rsid w:val="00AA6334"/>
    <w:rsid w:val="00B33BEA"/>
    <w:rsid w:val="00B57C9F"/>
    <w:rsid w:val="00B63572"/>
    <w:rsid w:val="00B845B3"/>
    <w:rsid w:val="00B85D8B"/>
    <w:rsid w:val="00BA4525"/>
    <w:rsid w:val="00BB4A40"/>
    <w:rsid w:val="00BD3ACB"/>
    <w:rsid w:val="00BD6C3E"/>
    <w:rsid w:val="00BE3674"/>
    <w:rsid w:val="00C10681"/>
    <w:rsid w:val="00C3049A"/>
    <w:rsid w:val="00C31B1E"/>
    <w:rsid w:val="00C41F55"/>
    <w:rsid w:val="00C459A6"/>
    <w:rsid w:val="00C4632A"/>
    <w:rsid w:val="00C6353C"/>
    <w:rsid w:val="00C77645"/>
    <w:rsid w:val="00C908DD"/>
    <w:rsid w:val="00C97D0C"/>
    <w:rsid w:val="00CA4D35"/>
    <w:rsid w:val="00CC1FA9"/>
    <w:rsid w:val="00CE04C3"/>
    <w:rsid w:val="00CE11F8"/>
    <w:rsid w:val="00CE76A0"/>
    <w:rsid w:val="00D01870"/>
    <w:rsid w:val="00D113E1"/>
    <w:rsid w:val="00D148C6"/>
    <w:rsid w:val="00D17A8A"/>
    <w:rsid w:val="00D17EB2"/>
    <w:rsid w:val="00D2029E"/>
    <w:rsid w:val="00D24590"/>
    <w:rsid w:val="00D33B50"/>
    <w:rsid w:val="00D415BA"/>
    <w:rsid w:val="00D63780"/>
    <w:rsid w:val="00D644EE"/>
    <w:rsid w:val="00D75489"/>
    <w:rsid w:val="00D833BB"/>
    <w:rsid w:val="00D94FAE"/>
    <w:rsid w:val="00DD06FF"/>
    <w:rsid w:val="00DD5FE9"/>
    <w:rsid w:val="00E00C7A"/>
    <w:rsid w:val="00E209CF"/>
    <w:rsid w:val="00E23783"/>
    <w:rsid w:val="00E32E9A"/>
    <w:rsid w:val="00E37D6C"/>
    <w:rsid w:val="00E40788"/>
    <w:rsid w:val="00E55B68"/>
    <w:rsid w:val="00E65C4F"/>
    <w:rsid w:val="00E67BE6"/>
    <w:rsid w:val="00E70BBB"/>
    <w:rsid w:val="00E84CE9"/>
    <w:rsid w:val="00E8683C"/>
    <w:rsid w:val="00EA1A12"/>
    <w:rsid w:val="00EA1B9C"/>
    <w:rsid w:val="00EA2B72"/>
    <w:rsid w:val="00ED266F"/>
    <w:rsid w:val="00EE04B2"/>
    <w:rsid w:val="00EE2088"/>
    <w:rsid w:val="00F039DD"/>
    <w:rsid w:val="00F24CF5"/>
    <w:rsid w:val="00F405A5"/>
    <w:rsid w:val="00F64A5A"/>
    <w:rsid w:val="00F66D3E"/>
    <w:rsid w:val="00F74360"/>
    <w:rsid w:val="00FB462F"/>
    <w:rsid w:val="00FE16FA"/>
    <w:rsid w:val="00FE328A"/>
    <w:rsid w:val="00FE6269"/>
    <w:rsid w:val="00FF5CD6"/>
    <w:rsid w:val="05ED3D0C"/>
    <w:rsid w:val="0F8E25D4"/>
    <w:rsid w:val="28601318"/>
    <w:rsid w:val="36642E24"/>
    <w:rsid w:val="3F415239"/>
    <w:rsid w:val="448E1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99"/>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A10B9-93B8-4889-87F0-A239D05673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2644</Words>
  <Characters>15077</Characters>
  <Lines>125</Lines>
  <Paragraphs>35</Paragraphs>
  <TotalTime>0</TotalTime>
  <ScaleCrop>false</ScaleCrop>
  <LinksUpToDate>false</LinksUpToDate>
  <CharactersWithSpaces>17686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2023-09-29T01:33:17Z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7D7B9F6012C24C9196E906F565AE5A49_12</vt:lpwstr>
  </property>
</Properties>
</file>