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7A21F">
      <w:pPr>
        <w:spacing w:line="600" w:lineRule="exact"/>
        <w:ind w:left="0" w:leftChars="0" w:firstLine="0" w:firstLineChars="0"/>
        <w:jc w:val="center"/>
        <w:rPr>
          <w:rFonts w:hint="eastAsia" w:ascii="方正小标宋简体" w:eastAsia="方正小标宋简体"/>
          <w:color w:val="auto"/>
          <w:sz w:val="40"/>
          <w:szCs w:val="40"/>
          <w:highlight w:val="none"/>
          <w:lang w:eastAsia="zh"/>
        </w:rPr>
      </w:pPr>
      <w:r>
        <w:rPr>
          <w:rFonts w:hint="eastAsia" w:ascii="方正小标宋简体" w:eastAsia="方正小标宋简体"/>
          <w:color w:val="auto"/>
          <w:sz w:val="40"/>
          <w:szCs w:val="40"/>
          <w:highlight w:val="none"/>
          <w:lang w:val="en-US" w:eastAsia="zh-CN"/>
        </w:rPr>
        <w:t>屈原管理区</w:t>
      </w:r>
      <w:r>
        <w:rPr>
          <w:rFonts w:hint="eastAsia" w:ascii="方正小标宋简体" w:eastAsia="方正小标宋简体"/>
          <w:color w:val="auto"/>
          <w:sz w:val="40"/>
          <w:szCs w:val="40"/>
          <w:highlight w:val="none"/>
        </w:rPr>
        <w:t>关于</w:t>
      </w:r>
      <w:r>
        <w:rPr>
          <w:rFonts w:hint="eastAsia" w:ascii="方正小标宋简体" w:eastAsia="方正小标宋简体"/>
          <w:color w:val="auto"/>
          <w:sz w:val="40"/>
          <w:szCs w:val="40"/>
          <w:highlight w:val="none"/>
          <w:lang w:val="en-US" w:eastAsia="zh-CN"/>
        </w:rPr>
        <w:t>加快推进2025-2027年</w:t>
      </w:r>
      <w:r>
        <w:rPr>
          <w:rFonts w:hint="eastAsia" w:ascii="方正小标宋简体" w:eastAsia="方正小标宋简体"/>
          <w:color w:val="auto"/>
          <w:sz w:val="40"/>
          <w:szCs w:val="40"/>
          <w:highlight w:val="none"/>
          <w:lang w:eastAsia="zh"/>
        </w:rPr>
        <w:t>工业</w:t>
      </w:r>
    </w:p>
    <w:p w14:paraId="731814C5">
      <w:pPr>
        <w:spacing w:line="600" w:lineRule="exact"/>
        <w:ind w:left="0" w:leftChars="0" w:firstLine="0" w:firstLineChars="0"/>
        <w:jc w:val="center"/>
        <w:rPr>
          <w:rFonts w:hint="eastAsia" w:ascii="楷体_GB2312" w:eastAsia="楷体_GB2312"/>
          <w:color w:val="auto"/>
          <w:szCs w:val="32"/>
          <w:highlight w:val="none"/>
        </w:rPr>
      </w:pPr>
      <w:r>
        <w:rPr>
          <w:rFonts w:hint="eastAsia" w:ascii="方正小标宋简体" w:eastAsia="方正小标宋简体"/>
          <w:color w:val="auto"/>
          <w:sz w:val="40"/>
          <w:szCs w:val="40"/>
          <w:highlight w:val="none"/>
          <w:lang w:eastAsia="zh"/>
        </w:rPr>
        <w:t>和</w:t>
      </w:r>
      <w:r>
        <w:rPr>
          <w:rFonts w:hint="eastAsia" w:ascii="方正小标宋简体" w:eastAsia="方正小标宋简体"/>
          <w:color w:val="auto"/>
          <w:sz w:val="40"/>
          <w:szCs w:val="40"/>
          <w:highlight w:val="none"/>
          <w:lang w:val="en-US" w:eastAsia="zh-CN"/>
        </w:rPr>
        <w:t>商贸</w:t>
      </w:r>
      <w:r>
        <w:rPr>
          <w:rFonts w:hint="eastAsia" w:ascii="方正小标宋简体" w:eastAsia="方正小标宋简体"/>
          <w:color w:val="auto"/>
          <w:sz w:val="40"/>
          <w:szCs w:val="40"/>
          <w:highlight w:val="none"/>
          <w:lang w:eastAsia="zh"/>
        </w:rPr>
        <w:t>经济</w:t>
      </w:r>
      <w:r>
        <w:rPr>
          <w:rFonts w:hint="eastAsia" w:ascii="方正小标宋简体" w:eastAsia="方正小标宋简体"/>
          <w:color w:val="auto"/>
          <w:sz w:val="40"/>
          <w:szCs w:val="40"/>
          <w:highlight w:val="none"/>
        </w:rPr>
        <w:t>高质量发展</w:t>
      </w:r>
      <w:r>
        <w:rPr>
          <w:rFonts w:hint="eastAsia" w:ascii="方正小标宋简体" w:eastAsia="方正小标宋简体"/>
          <w:color w:val="auto"/>
          <w:sz w:val="40"/>
          <w:szCs w:val="40"/>
          <w:highlight w:val="none"/>
          <w:lang w:val="en-US" w:eastAsia="zh-CN"/>
        </w:rPr>
        <w:t>的若干政策（征求意见稿）</w:t>
      </w:r>
    </w:p>
    <w:p w14:paraId="36B57830">
      <w:pPr>
        <w:keepNext w:val="0"/>
        <w:keepLines w:val="0"/>
        <w:pageBreakBefore w:val="0"/>
        <w:widowControl/>
        <w:kinsoku/>
        <w:wordWrap/>
        <w:overflowPunct/>
        <w:topLinePunct w:val="0"/>
        <w:autoSpaceDE/>
        <w:autoSpaceDN/>
        <w:bidi w:val="0"/>
        <w:adjustRightInd/>
        <w:snapToGrid/>
        <w:spacing w:before="581" w:beforeLines="100" w:line="600" w:lineRule="exact"/>
        <w:ind w:firstLine="640" w:firstLineChars="200"/>
        <w:jc w:val="both"/>
        <w:textAlignment w:val="auto"/>
        <w:rPr>
          <w:rFonts w:hint="eastAsia"/>
          <w:color w:val="auto"/>
          <w:highlight w:val="none"/>
        </w:rPr>
      </w:pPr>
      <w:r>
        <w:rPr>
          <w:rFonts w:hint="eastAsia"/>
          <w:color w:val="auto"/>
          <w:highlight w:val="none"/>
          <w:lang w:eastAsia="zh"/>
        </w:rPr>
        <w:t>为</w:t>
      </w:r>
      <w:r>
        <w:rPr>
          <w:rFonts w:hint="eastAsia"/>
          <w:color w:val="auto"/>
          <w:highlight w:val="none"/>
        </w:rPr>
        <w:t>深入贯彻习近平新时代中国特色社会主义思想，</w:t>
      </w:r>
      <w:r>
        <w:rPr>
          <w:rFonts w:hint="eastAsia"/>
          <w:color w:val="auto"/>
          <w:highlight w:val="none"/>
          <w:lang w:val="en-US" w:eastAsia="zh-CN"/>
        </w:rPr>
        <w:t>深入落实新质生产力发展要求</w:t>
      </w:r>
      <w:r>
        <w:rPr>
          <w:rFonts w:hint="eastAsia"/>
          <w:color w:val="auto"/>
          <w:highlight w:val="none"/>
        </w:rPr>
        <w:t>，落实省委、省政府“三高四新”发展战略</w:t>
      </w:r>
      <w:r>
        <w:rPr>
          <w:rFonts w:hint="eastAsia"/>
          <w:color w:val="auto"/>
          <w:highlight w:val="none"/>
          <w:lang w:eastAsia="zh"/>
        </w:rPr>
        <w:t>，落实市委</w:t>
      </w:r>
      <w:r>
        <w:rPr>
          <w:rFonts w:hint="eastAsia"/>
          <w:color w:val="auto"/>
          <w:highlight w:val="none"/>
          <w:lang w:eastAsia="zh-CN"/>
        </w:rPr>
        <w:t>、</w:t>
      </w:r>
      <w:r>
        <w:rPr>
          <w:rFonts w:hint="eastAsia"/>
          <w:color w:val="auto"/>
          <w:highlight w:val="none"/>
          <w:lang w:eastAsia="zh"/>
        </w:rPr>
        <w:t>市政府建设省域副中心城市战略定位，紧紧围绕屈原管理区</w:t>
      </w:r>
      <w:r>
        <w:rPr>
          <w:rFonts w:hint="eastAsia"/>
          <w:color w:val="auto"/>
          <w:highlight w:val="none"/>
        </w:rPr>
        <w:t>“</w:t>
      </w:r>
      <w:r>
        <w:rPr>
          <w:rFonts w:hint="eastAsia"/>
          <w:color w:val="auto"/>
          <w:highlight w:val="none"/>
          <w:lang w:eastAsia="zh"/>
        </w:rPr>
        <w:t>一园一区</w:t>
      </w:r>
      <w:r>
        <w:rPr>
          <w:rFonts w:hint="eastAsia"/>
          <w:color w:val="auto"/>
          <w:highlight w:val="none"/>
        </w:rPr>
        <w:t>”</w:t>
      </w:r>
      <w:r>
        <w:rPr>
          <w:rFonts w:hint="eastAsia"/>
          <w:color w:val="auto"/>
          <w:highlight w:val="none"/>
          <w:lang w:val="en-US" w:eastAsia="zh-CN"/>
        </w:rPr>
        <w:t>和</w:t>
      </w:r>
      <w:r>
        <w:rPr>
          <w:rFonts w:hint="eastAsia"/>
          <w:color w:val="auto"/>
          <w:highlight w:val="none"/>
          <w:lang w:eastAsia="zh"/>
        </w:rPr>
        <w:t>“特强优美”目标</w:t>
      </w:r>
      <w:r>
        <w:rPr>
          <w:rFonts w:hint="eastAsia"/>
          <w:color w:val="auto"/>
          <w:highlight w:val="none"/>
        </w:rPr>
        <w:t>，</w:t>
      </w:r>
      <w:r>
        <w:rPr>
          <w:rFonts w:hint="eastAsia"/>
          <w:color w:val="auto"/>
          <w:highlight w:val="none"/>
          <w:lang w:val="en-US" w:eastAsia="zh-CN"/>
        </w:rPr>
        <w:t>全力推动国家农高区创建，</w:t>
      </w:r>
      <w:r>
        <w:rPr>
          <w:rFonts w:hint="eastAsia"/>
          <w:color w:val="auto"/>
          <w:highlight w:val="none"/>
        </w:rPr>
        <w:t>推动</w:t>
      </w:r>
      <w:r>
        <w:rPr>
          <w:rFonts w:hint="eastAsia"/>
          <w:color w:val="auto"/>
          <w:highlight w:val="none"/>
          <w:lang w:eastAsia="zh"/>
        </w:rPr>
        <w:t>工业与</w:t>
      </w:r>
      <w:r>
        <w:rPr>
          <w:rFonts w:hint="eastAsia"/>
          <w:color w:val="auto"/>
          <w:highlight w:val="none"/>
          <w:lang w:val="en-US" w:eastAsia="zh-CN"/>
        </w:rPr>
        <w:t>商贸</w:t>
      </w:r>
      <w:r>
        <w:rPr>
          <w:rFonts w:hint="eastAsia"/>
          <w:color w:val="auto"/>
          <w:highlight w:val="none"/>
          <w:lang w:eastAsia="zh"/>
        </w:rPr>
        <w:t>经济高质量发展，推进科技创新创业</w:t>
      </w:r>
      <w:r>
        <w:rPr>
          <w:rFonts w:hint="eastAsia"/>
          <w:color w:val="auto"/>
          <w:highlight w:val="none"/>
        </w:rPr>
        <w:t>。根据国家和省市有关</w:t>
      </w:r>
      <w:r>
        <w:rPr>
          <w:rFonts w:hint="eastAsia"/>
          <w:color w:val="auto"/>
          <w:highlight w:val="none"/>
          <w:lang w:val="en-US" w:eastAsia="zh-CN"/>
        </w:rPr>
        <w:t>规定和</w:t>
      </w:r>
      <w:r>
        <w:rPr>
          <w:rFonts w:hint="eastAsia"/>
          <w:color w:val="auto"/>
          <w:highlight w:val="none"/>
        </w:rPr>
        <w:t>文件精神，结合我区实际，特制定</w:t>
      </w:r>
      <w:r>
        <w:rPr>
          <w:rFonts w:hint="eastAsia"/>
          <w:color w:val="auto"/>
          <w:highlight w:val="none"/>
          <w:lang w:val="en-US" w:eastAsia="zh-CN"/>
        </w:rPr>
        <w:t>本行动方案</w:t>
      </w:r>
      <w:r>
        <w:rPr>
          <w:rFonts w:hint="eastAsia"/>
          <w:color w:val="auto"/>
          <w:highlight w:val="none"/>
        </w:rPr>
        <w:t>：</w:t>
      </w:r>
    </w:p>
    <w:p w14:paraId="0DC823B0">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olor w:val="auto"/>
          <w:highlight w:val="none"/>
          <w:lang w:val="en-US" w:eastAsia="zh-CN"/>
        </w:rPr>
      </w:pPr>
      <w:r>
        <w:rPr>
          <w:rFonts w:hint="eastAsia" w:ascii="黑体" w:hAnsi="黑体" w:eastAsia="黑体"/>
          <w:color w:val="auto"/>
          <w:highlight w:val="none"/>
        </w:rPr>
        <w:t>一、</w:t>
      </w:r>
      <w:r>
        <w:rPr>
          <w:rFonts w:hint="eastAsia" w:ascii="黑体" w:hAnsi="黑体" w:eastAsia="黑体"/>
          <w:color w:val="auto"/>
          <w:highlight w:val="none"/>
          <w:lang w:eastAsia="zh-CN"/>
        </w:rPr>
        <w:t>推动企业做大做强</w:t>
      </w:r>
    </w:p>
    <w:p w14:paraId="5C3A12C1">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color w:val="auto"/>
          <w:highlight w:val="none"/>
          <w:lang w:val="en-US" w:eastAsia="zh-CN"/>
        </w:rPr>
      </w:pPr>
      <w:r>
        <w:rPr>
          <w:rFonts w:hint="eastAsia"/>
          <w:b/>
          <w:bCs/>
          <w:color w:val="auto"/>
          <w:highlight w:val="none"/>
          <w:lang w:val="en-US" w:eastAsia="zh-CN"/>
        </w:rPr>
        <w:t>1.推动企业入规纳统。</w:t>
      </w:r>
      <w:r>
        <w:rPr>
          <w:rFonts w:hint="eastAsia"/>
          <w:color w:val="auto"/>
          <w:highlight w:val="none"/>
          <w:lang w:val="en-US" w:eastAsia="zh-CN"/>
        </w:rPr>
        <w:t>着力做好全区企业“小升规”工作，推动企业扩能增效。对当年达到限额以上并纳入我区统计的企业，</w:t>
      </w:r>
      <w:bookmarkStart w:id="0" w:name="OLE_LINK1"/>
      <w:r>
        <w:rPr>
          <w:rFonts w:hint="eastAsia"/>
          <w:color w:val="auto"/>
          <w:highlight w:val="none"/>
          <w:lang w:val="en-US" w:eastAsia="zh-CN"/>
        </w:rPr>
        <w:t>给予最高一次性</w:t>
      </w:r>
      <w:bookmarkEnd w:id="0"/>
      <w:r>
        <w:rPr>
          <w:rFonts w:hint="eastAsia"/>
          <w:color w:val="auto"/>
          <w:highlight w:val="none"/>
          <w:lang w:val="en-US" w:eastAsia="zh-CN"/>
        </w:rPr>
        <w:t>2万元奖励。到2027年，力争新增工业规模企业10家、商贸和服务规模企业6家。</w:t>
      </w:r>
    </w:p>
    <w:p w14:paraId="5208AF87">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color w:val="auto"/>
          <w:highlight w:val="none"/>
          <w:lang w:val="en-US" w:eastAsia="zh-CN"/>
        </w:rPr>
      </w:pPr>
      <w:r>
        <w:rPr>
          <w:rFonts w:hint="eastAsia"/>
          <w:b/>
          <w:bCs/>
          <w:color w:val="auto"/>
          <w:highlight w:val="none"/>
          <w:lang w:val="en-US" w:eastAsia="zh-CN"/>
        </w:rPr>
        <w:t>2.扎实做好企业梯度</w:t>
      </w:r>
      <w:r>
        <w:rPr>
          <w:rFonts w:hint="eastAsia"/>
          <w:b/>
          <w:bCs/>
          <w:color w:val="auto"/>
          <w:highlight w:val="none"/>
        </w:rPr>
        <w:t>培育</w:t>
      </w:r>
      <w:r>
        <w:rPr>
          <w:rFonts w:hint="eastAsia"/>
          <w:b/>
          <w:bCs/>
          <w:color w:val="auto"/>
          <w:highlight w:val="none"/>
          <w:lang w:eastAsia="zh"/>
        </w:rPr>
        <w:t>。</w:t>
      </w:r>
      <w:r>
        <w:rPr>
          <w:rFonts w:hint="eastAsia"/>
          <w:color w:val="auto"/>
          <w:highlight w:val="none"/>
          <w:lang w:val="en-US" w:eastAsia="zh-CN"/>
        </w:rPr>
        <w:t>加快培育一批专注于细分市场、聚焦主业、创新能力强、成长性好的高</w:t>
      </w:r>
      <w:r>
        <w:rPr>
          <w:rFonts w:hint="eastAsia"/>
          <w:color w:val="auto"/>
          <w:highlight w:val="none"/>
          <w:lang w:eastAsia="zh-CN"/>
        </w:rPr>
        <w:t>质量企业，推动优质中小企业梯度培育</w:t>
      </w:r>
      <w:r>
        <w:rPr>
          <w:rFonts w:hint="eastAsia"/>
          <w:color w:val="auto"/>
          <w:highlight w:val="none"/>
          <w:lang w:val="en-US" w:eastAsia="zh-CN"/>
        </w:rPr>
        <w:t>。对当年自行完成科技型中小企业入库并取得编码的企业，奖励0.1万元。对当年度新认定、复审认定的高新技术企业，分别补助企业研发费用5万元、3万元。</w:t>
      </w:r>
      <w:r>
        <w:rPr>
          <w:rFonts w:hint="eastAsia"/>
          <w:color w:val="auto"/>
          <w:highlight w:val="none"/>
          <w:lang w:val="en-US" w:eastAsia="zh"/>
        </w:rPr>
        <w:t>对被</w:t>
      </w:r>
      <w:r>
        <w:rPr>
          <w:rFonts w:hint="eastAsia"/>
          <w:color w:val="auto"/>
          <w:highlight w:val="none"/>
          <w:lang w:eastAsia="zh-CN"/>
        </w:rPr>
        <w:t>认定</w:t>
      </w:r>
      <w:r>
        <w:rPr>
          <w:rFonts w:hint="eastAsia"/>
          <w:color w:val="auto"/>
          <w:highlight w:val="none"/>
          <w:lang w:eastAsia="zh"/>
        </w:rPr>
        <w:t>为国家专精特新“小巨人”企业的，</w:t>
      </w:r>
      <w:r>
        <w:rPr>
          <w:rFonts w:hint="eastAsia"/>
          <w:color w:val="auto"/>
          <w:highlight w:val="none"/>
          <w:lang w:val="en-US" w:eastAsia="zh-CN"/>
        </w:rPr>
        <w:t>给予最高一次性20</w:t>
      </w:r>
      <w:r>
        <w:rPr>
          <w:rFonts w:hint="eastAsia"/>
          <w:color w:val="auto"/>
          <w:highlight w:val="none"/>
          <w:lang w:eastAsia="zh"/>
        </w:rPr>
        <w:t>万元</w:t>
      </w:r>
      <w:r>
        <w:rPr>
          <w:rFonts w:hint="eastAsia"/>
          <w:color w:val="auto"/>
          <w:highlight w:val="none"/>
          <w:lang w:eastAsia="zh-CN"/>
        </w:rPr>
        <w:t>奖励</w:t>
      </w:r>
      <w:bookmarkStart w:id="1" w:name="OLE_LINK2"/>
      <w:r>
        <w:rPr>
          <w:rFonts w:hint="eastAsia"/>
          <w:color w:val="auto"/>
          <w:highlight w:val="none"/>
          <w:lang w:eastAsia="zh-CN"/>
        </w:rPr>
        <w:t>。</w:t>
      </w:r>
      <w:bookmarkEnd w:id="1"/>
      <w:r>
        <w:rPr>
          <w:rFonts w:hint="eastAsia"/>
          <w:color w:val="auto"/>
          <w:highlight w:val="none"/>
          <w:lang w:eastAsia="zh"/>
        </w:rPr>
        <w:t>对</w:t>
      </w:r>
      <w:r>
        <w:rPr>
          <w:rFonts w:hint="eastAsia"/>
          <w:color w:val="auto"/>
          <w:highlight w:val="none"/>
          <w:lang w:eastAsia="zh-CN"/>
        </w:rPr>
        <w:t>被认定</w:t>
      </w:r>
      <w:r>
        <w:rPr>
          <w:rFonts w:hint="eastAsia"/>
          <w:color w:val="auto"/>
          <w:highlight w:val="none"/>
          <w:lang w:eastAsia="zh"/>
        </w:rPr>
        <w:t>的省级专精特新中小企业，</w:t>
      </w:r>
      <w:r>
        <w:rPr>
          <w:rFonts w:hint="eastAsia"/>
          <w:color w:val="auto"/>
          <w:highlight w:val="none"/>
          <w:lang w:val="en-US" w:eastAsia="zh-CN"/>
        </w:rPr>
        <w:t>给予最高一次性15</w:t>
      </w:r>
      <w:r>
        <w:rPr>
          <w:rFonts w:hint="eastAsia"/>
          <w:color w:val="auto"/>
          <w:highlight w:val="none"/>
          <w:lang w:eastAsia="zh"/>
        </w:rPr>
        <w:t>万元</w:t>
      </w:r>
      <w:r>
        <w:rPr>
          <w:rFonts w:hint="eastAsia"/>
          <w:color w:val="auto"/>
          <w:highlight w:val="none"/>
          <w:lang w:eastAsia="zh-CN"/>
        </w:rPr>
        <w:t>奖励。</w:t>
      </w:r>
      <w:r>
        <w:rPr>
          <w:rFonts w:hint="eastAsia"/>
          <w:color w:val="auto"/>
          <w:highlight w:val="none"/>
          <w:lang w:val="en-US" w:eastAsia="zh-CN"/>
        </w:rPr>
        <w:t>力争到2027年，我区高新技术企业数达到36家，新增</w:t>
      </w:r>
      <w:r>
        <w:rPr>
          <w:rFonts w:hint="eastAsia"/>
          <w:color w:val="auto"/>
          <w:highlight w:val="none"/>
          <w:lang w:eastAsia="zh"/>
        </w:rPr>
        <w:t>国家专精特新“小巨人”</w:t>
      </w:r>
      <w:bookmarkStart w:id="7" w:name="_GoBack"/>
      <w:bookmarkEnd w:id="7"/>
      <w:r>
        <w:rPr>
          <w:rFonts w:hint="eastAsia"/>
          <w:color w:val="auto"/>
          <w:highlight w:val="none"/>
          <w:lang w:eastAsia="zh"/>
        </w:rPr>
        <w:t>企业</w:t>
      </w:r>
      <w:r>
        <w:rPr>
          <w:rFonts w:hint="eastAsia"/>
          <w:color w:val="auto"/>
          <w:highlight w:val="none"/>
          <w:lang w:val="en-US" w:eastAsia="zh-CN"/>
        </w:rPr>
        <w:t>3家，专精特新中小企业达到8家。</w:t>
      </w:r>
    </w:p>
    <w:p w14:paraId="440C60AA">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color w:val="auto"/>
          <w:highlight w:val="none"/>
          <w:lang w:eastAsia="zh"/>
        </w:rPr>
      </w:pPr>
      <w:r>
        <w:rPr>
          <w:rFonts w:hint="eastAsia"/>
          <w:b/>
          <w:bCs/>
          <w:color w:val="auto"/>
          <w:highlight w:val="none"/>
          <w:lang w:val="en-US" w:eastAsia="zh-CN"/>
        </w:rPr>
        <w:t>3.培育一批行业标杆企业</w:t>
      </w:r>
      <w:r>
        <w:rPr>
          <w:rFonts w:hint="eastAsia"/>
          <w:b/>
          <w:bCs/>
          <w:color w:val="auto"/>
          <w:highlight w:val="none"/>
          <w:lang w:eastAsia="zh"/>
        </w:rPr>
        <w:t>。</w:t>
      </w:r>
      <w:r>
        <w:rPr>
          <w:rFonts w:hint="eastAsia"/>
          <w:color w:val="auto"/>
          <w:highlight w:val="none"/>
          <w:lang w:eastAsia="zh"/>
        </w:rPr>
        <w:t>对被</w:t>
      </w:r>
      <w:r>
        <w:rPr>
          <w:rFonts w:hint="eastAsia"/>
          <w:color w:val="auto"/>
          <w:highlight w:val="none"/>
          <w:lang w:eastAsia="zh-CN"/>
        </w:rPr>
        <w:t>认定</w:t>
      </w:r>
      <w:r>
        <w:rPr>
          <w:rFonts w:hint="eastAsia"/>
          <w:color w:val="auto"/>
          <w:highlight w:val="none"/>
          <w:lang w:eastAsia="zh"/>
        </w:rPr>
        <w:t>评为国家级</w:t>
      </w:r>
      <w:r>
        <w:rPr>
          <w:rFonts w:hint="eastAsia"/>
          <w:color w:val="auto"/>
          <w:highlight w:val="none"/>
          <w:lang w:eastAsia="zh-CN"/>
        </w:rPr>
        <w:t>、省级</w:t>
      </w:r>
      <w:r>
        <w:rPr>
          <w:rFonts w:hint="eastAsia"/>
          <w:color w:val="auto"/>
          <w:highlight w:val="none"/>
          <w:lang w:eastAsia="zh"/>
        </w:rPr>
        <w:t>制造业单项冠军示范企业、单项冠军示范产品，</w:t>
      </w:r>
      <w:r>
        <w:rPr>
          <w:rFonts w:hint="eastAsia"/>
          <w:color w:val="auto"/>
          <w:highlight w:val="none"/>
          <w:lang w:val="en-US" w:eastAsia="zh-CN"/>
        </w:rPr>
        <w:t>给予最高一次性</w:t>
      </w:r>
      <w:r>
        <w:rPr>
          <w:rFonts w:hint="eastAsia"/>
          <w:color w:val="auto"/>
          <w:highlight w:val="none"/>
          <w:lang w:eastAsia="zh"/>
        </w:rPr>
        <w:t>10万元</w:t>
      </w:r>
      <w:r>
        <w:rPr>
          <w:rFonts w:hint="eastAsia"/>
          <w:color w:val="auto"/>
          <w:highlight w:val="none"/>
          <w:lang w:eastAsia="zh-CN"/>
        </w:rPr>
        <w:t>、</w:t>
      </w:r>
      <w:r>
        <w:rPr>
          <w:rFonts w:hint="eastAsia"/>
          <w:color w:val="auto"/>
          <w:highlight w:val="none"/>
          <w:lang w:val="en-US" w:eastAsia="zh-CN"/>
        </w:rPr>
        <w:t>5万元</w:t>
      </w:r>
      <w:r>
        <w:rPr>
          <w:rFonts w:hint="eastAsia"/>
          <w:color w:val="auto"/>
          <w:highlight w:val="none"/>
          <w:lang w:eastAsia="zh-CN"/>
        </w:rPr>
        <w:t>的</w:t>
      </w:r>
      <w:r>
        <w:rPr>
          <w:rFonts w:hint="eastAsia"/>
          <w:color w:val="auto"/>
          <w:highlight w:val="none"/>
          <w:lang w:eastAsia="zh"/>
        </w:rPr>
        <w:t>奖励</w:t>
      </w:r>
      <w:r>
        <w:rPr>
          <w:rFonts w:hint="eastAsia"/>
          <w:color w:val="auto"/>
          <w:highlight w:val="none"/>
          <w:lang w:eastAsia="zh-CN"/>
        </w:rPr>
        <w:t>。</w:t>
      </w:r>
      <w:r>
        <w:rPr>
          <w:rFonts w:hint="eastAsia"/>
          <w:color w:val="auto"/>
          <w:highlight w:val="none"/>
          <w:lang w:eastAsia="zh"/>
        </w:rPr>
        <w:t>对成功申报</w:t>
      </w:r>
      <w:r>
        <w:rPr>
          <w:rFonts w:hint="eastAsia"/>
          <w:color w:val="auto"/>
          <w:highlight w:val="none"/>
          <w:lang w:eastAsia="zh-CN"/>
        </w:rPr>
        <w:t>省级</w:t>
      </w:r>
      <w:r>
        <w:rPr>
          <w:rFonts w:hint="eastAsia"/>
          <w:color w:val="auto"/>
          <w:highlight w:val="none"/>
          <w:lang w:eastAsia="zh"/>
        </w:rPr>
        <w:t>“揭榜挂帅”</w:t>
      </w:r>
      <w:r>
        <w:rPr>
          <w:rFonts w:hint="eastAsia"/>
          <w:color w:val="auto"/>
          <w:highlight w:val="none"/>
          <w:lang w:eastAsia="zh-CN"/>
        </w:rPr>
        <w:t>、</w:t>
      </w:r>
      <w:r>
        <w:rPr>
          <w:rFonts w:hint="eastAsia"/>
          <w:color w:val="auto"/>
          <w:highlight w:val="none"/>
          <w:lang w:val="en-US" w:eastAsia="zh-CN"/>
        </w:rPr>
        <w:t>科技</w:t>
      </w:r>
      <w:r>
        <w:rPr>
          <w:rFonts w:hint="eastAsia"/>
          <w:color w:val="auto"/>
          <w:highlight w:val="none"/>
          <w:lang w:eastAsia="zh"/>
        </w:rPr>
        <w:t>重大专项</w:t>
      </w:r>
      <w:r>
        <w:rPr>
          <w:rFonts w:hint="eastAsia"/>
          <w:color w:val="auto"/>
          <w:highlight w:val="none"/>
          <w:lang w:eastAsia="zh-CN"/>
        </w:rPr>
        <w:t>、</w:t>
      </w:r>
      <w:r>
        <w:rPr>
          <w:rFonts w:hint="eastAsia"/>
          <w:color w:val="auto"/>
          <w:highlight w:val="none"/>
          <w:lang w:eastAsia="zh"/>
        </w:rPr>
        <w:t>“十大技术攻关”</w:t>
      </w:r>
      <w:r>
        <w:rPr>
          <w:rFonts w:hint="eastAsia"/>
          <w:color w:val="auto"/>
          <w:highlight w:val="none"/>
          <w:lang w:eastAsia="zh-CN"/>
        </w:rPr>
        <w:t>、</w:t>
      </w:r>
      <w:r>
        <w:rPr>
          <w:rFonts w:hint="eastAsia"/>
          <w:color w:val="auto"/>
          <w:highlight w:val="none"/>
          <w:lang w:val="en-US" w:eastAsia="zh-CN"/>
        </w:rPr>
        <w:t>重点研发</w:t>
      </w:r>
      <w:r>
        <w:rPr>
          <w:rFonts w:hint="eastAsia"/>
          <w:color w:val="auto"/>
          <w:highlight w:val="none"/>
          <w:lang w:eastAsia="zh"/>
        </w:rPr>
        <w:t>项目</w:t>
      </w:r>
      <w:r>
        <w:rPr>
          <w:rFonts w:hint="eastAsia"/>
          <w:color w:val="auto"/>
          <w:highlight w:val="none"/>
          <w:lang w:val="en-US" w:eastAsia="zh-CN"/>
        </w:rPr>
        <w:t>的企业，验收通过后分别给予30万元、30万元、20万元、10万元的奖励。</w:t>
      </w:r>
      <w:r>
        <w:rPr>
          <w:rFonts w:hint="eastAsia"/>
          <w:color w:val="auto"/>
          <w:highlight w:val="none"/>
          <w:lang w:eastAsia="zh"/>
        </w:rPr>
        <w:t>对成功申报市级“揭榜挂帅”</w:t>
      </w:r>
      <w:r>
        <w:rPr>
          <w:rFonts w:hint="eastAsia"/>
          <w:color w:val="auto"/>
          <w:highlight w:val="none"/>
          <w:lang w:eastAsia="zh-CN"/>
        </w:rPr>
        <w:t>、</w:t>
      </w:r>
      <w:r>
        <w:rPr>
          <w:rFonts w:hint="eastAsia"/>
          <w:color w:val="auto"/>
          <w:highlight w:val="none"/>
          <w:lang w:val="en-US" w:eastAsia="zh-CN"/>
        </w:rPr>
        <w:t>科技</w:t>
      </w:r>
      <w:r>
        <w:rPr>
          <w:rFonts w:hint="eastAsia"/>
          <w:color w:val="auto"/>
          <w:highlight w:val="none"/>
          <w:lang w:eastAsia="zh"/>
        </w:rPr>
        <w:t>重大专项</w:t>
      </w:r>
      <w:r>
        <w:rPr>
          <w:rFonts w:hint="eastAsia"/>
          <w:color w:val="auto"/>
          <w:highlight w:val="none"/>
          <w:lang w:eastAsia="zh-CN"/>
        </w:rPr>
        <w:t>、</w:t>
      </w:r>
      <w:r>
        <w:rPr>
          <w:rFonts w:hint="eastAsia"/>
          <w:color w:val="auto"/>
          <w:highlight w:val="none"/>
          <w:lang w:eastAsia="zh"/>
        </w:rPr>
        <w:t>“十大技术攻关”</w:t>
      </w:r>
      <w:r>
        <w:rPr>
          <w:rFonts w:hint="eastAsia"/>
          <w:color w:val="auto"/>
          <w:highlight w:val="none"/>
          <w:lang w:eastAsia="zh-CN"/>
        </w:rPr>
        <w:t>、</w:t>
      </w:r>
      <w:r>
        <w:rPr>
          <w:rFonts w:hint="eastAsia"/>
          <w:color w:val="auto"/>
          <w:highlight w:val="none"/>
          <w:lang w:val="en-US" w:eastAsia="zh-CN"/>
        </w:rPr>
        <w:t>重点研发</w:t>
      </w:r>
      <w:r>
        <w:rPr>
          <w:rFonts w:hint="eastAsia"/>
          <w:color w:val="auto"/>
          <w:highlight w:val="none"/>
          <w:lang w:eastAsia="zh"/>
        </w:rPr>
        <w:t>项目</w:t>
      </w:r>
      <w:r>
        <w:rPr>
          <w:rFonts w:hint="eastAsia"/>
          <w:color w:val="auto"/>
          <w:highlight w:val="none"/>
          <w:lang w:val="en-US" w:eastAsia="zh-CN"/>
        </w:rPr>
        <w:t>的企业，验收通过后分别给予20万元、20万元、10万、5万元的奖励。到2027年，力争新增国家级单项冠军1家、省级单项冠军2家、单项冠军示范产品1家</w:t>
      </w:r>
      <w:r>
        <w:rPr>
          <w:rFonts w:hint="eastAsia"/>
          <w:color w:val="auto"/>
          <w:highlight w:val="none"/>
          <w:lang w:eastAsia="zh"/>
        </w:rPr>
        <w:t>。</w:t>
      </w:r>
    </w:p>
    <w:p w14:paraId="4BB51515">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color w:val="auto"/>
          <w:highlight w:val="none"/>
          <w:lang w:eastAsia="zh-CN"/>
        </w:rPr>
      </w:pPr>
      <w:r>
        <w:rPr>
          <w:rFonts w:hint="eastAsia"/>
          <w:b/>
          <w:bCs/>
          <w:color w:val="auto"/>
          <w:highlight w:val="none"/>
          <w:lang w:val="en-US" w:eastAsia="zh-CN"/>
        </w:rPr>
        <w:t>4.提升“智赋万企”行动。</w:t>
      </w:r>
      <w:r>
        <w:rPr>
          <w:rFonts w:hint="eastAsia"/>
          <w:color w:val="auto"/>
          <w:highlight w:val="none"/>
          <w:lang w:val="en-US" w:eastAsia="zh-CN"/>
        </w:rPr>
        <w:t>加快“智转数改网联”，纵深推进“智赋万企”行动。</w:t>
      </w:r>
      <w:r>
        <w:rPr>
          <w:rFonts w:hint="eastAsia"/>
          <w:color w:val="auto"/>
          <w:highlight w:val="none"/>
          <w:lang w:eastAsia="zh-CN"/>
        </w:rPr>
        <w:t>对参与两化融合贯标企业且拿到贯标证书企业，</w:t>
      </w:r>
      <w:r>
        <w:rPr>
          <w:rFonts w:hint="eastAsia"/>
          <w:color w:val="auto"/>
          <w:highlight w:val="none"/>
          <w:lang w:val="en-US" w:eastAsia="zh-CN"/>
        </w:rPr>
        <w:t>给予最高一次性10万元奖励，对参与数字化转型ERP（企业资源计划管理系统）全流程打通企业，给予最高一次性10万元奖励，对参与质量管理体系认证且拿到体系认证证书企业，给予最高一次性1万元奖励，</w:t>
      </w:r>
      <w:r>
        <w:rPr>
          <w:rFonts w:hint="eastAsia"/>
          <w:color w:val="auto"/>
          <w:highlight w:val="none"/>
          <w:lang w:eastAsia="zh"/>
        </w:rPr>
        <w:t>对</w:t>
      </w:r>
      <w:r>
        <w:rPr>
          <w:rFonts w:hint="eastAsia"/>
          <w:color w:val="auto"/>
          <w:highlight w:val="none"/>
          <w:lang w:eastAsia="zh-CN"/>
        </w:rPr>
        <w:t>被</w:t>
      </w:r>
      <w:r>
        <w:rPr>
          <w:rFonts w:hint="eastAsia"/>
          <w:color w:val="auto"/>
          <w:highlight w:val="none"/>
          <w:lang w:eastAsia="zh"/>
        </w:rPr>
        <w:t>认定</w:t>
      </w:r>
      <w:r>
        <w:rPr>
          <w:rFonts w:hint="eastAsia"/>
          <w:color w:val="auto"/>
          <w:highlight w:val="none"/>
          <w:lang w:eastAsia="zh-CN"/>
        </w:rPr>
        <w:t>省级</w:t>
      </w:r>
      <w:r>
        <w:rPr>
          <w:rFonts w:hint="default"/>
          <w:color w:val="auto"/>
          <w:highlight w:val="none"/>
          <w:lang w:eastAsia="zh"/>
        </w:rPr>
        <w:t>“绿色工厂”</w:t>
      </w:r>
      <w:r>
        <w:rPr>
          <w:rFonts w:hint="eastAsia"/>
          <w:color w:val="auto"/>
          <w:highlight w:val="none"/>
          <w:lang w:eastAsia="zh"/>
        </w:rPr>
        <w:t>企业，</w:t>
      </w:r>
      <w:r>
        <w:rPr>
          <w:rFonts w:hint="eastAsia"/>
          <w:color w:val="auto"/>
          <w:highlight w:val="none"/>
          <w:lang w:val="en-US" w:eastAsia="zh-CN"/>
        </w:rPr>
        <w:t>给予最高一次性奖励</w:t>
      </w:r>
      <w:r>
        <w:rPr>
          <w:rFonts w:hint="eastAsia"/>
          <w:color w:val="auto"/>
          <w:highlight w:val="none"/>
          <w:lang w:eastAsia="zh"/>
        </w:rPr>
        <w:t>5万元</w:t>
      </w:r>
      <w:r>
        <w:rPr>
          <w:rFonts w:hint="eastAsia"/>
          <w:color w:val="auto"/>
          <w:highlight w:val="none"/>
          <w:lang w:eastAsia="zh-CN"/>
        </w:rPr>
        <w:t>。</w:t>
      </w:r>
      <w:r>
        <w:rPr>
          <w:rFonts w:hint="eastAsia"/>
          <w:color w:val="auto"/>
          <w:highlight w:val="none"/>
          <w:lang w:val="en-US" w:eastAsia="zh-CN"/>
        </w:rPr>
        <w:t>力争到2027年，完成5家企业贯标，5家企业上线ERP，5家企业完成质量管理体系认证，5家企业完成</w:t>
      </w:r>
      <w:r>
        <w:rPr>
          <w:rFonts w:hint="eastAsia"/>
          <w:color w:val="auto"/>
          <w:highlight w:val="none"/>
          <w:lang w:eastAsia="zh-CN"/>
        </w:rPr>
        <w:t>省级</w:t>
      </w:r>
      <w:r>
        <w:rPr>
          <w:rFonts w:hint="default"/>
          <w:color w:val="auto"/>
          <w:highlight w:val="none"/>
          <w:lang w:eastAsia="zh"/>
        </w:rPr>
        <w:t>“绿色工厂”</w:t>
      </w:r>
      <w:r>
        <w:rPr>
          <w:rFonts w:hint="eastAsia"/>
          <w:color w:val="auto"/>
          <w:highlight w:val="none"/>
          <w:lang w:val="en-US" w:eastAsia="zh-CN"/>
        </w:rPr>
        <w:t>认定</w:t>
      </w:r>
      <w:r>
        <w:rPr>
          <w:rFonts w:hint="eastAsia"/>
          <w:color w:val="auto"/>
          <w:highlight w:val="none"/>
          <w:lang w:eastAsia="zh-CN"/>
        </w:rPr>
        <w:t>。</w:t>
      </w:r>
    </w:p>
    <w:p w14:paraId="23EBA01E">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二、推动开放型经济高质量发展</w:t>
      </w:r>
    </w:p>
    <w:p w14:paraId="64C48043">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default" w:eastAsia="仿宋_GB2312"/>
          <w:color w:val="auto"/>
          <w:highlight w:val="none"/>
          <w:lang w:val="en-US" w:eastAsia="zh-CN"/>
        </w:rPr>
      </w:pPr>
      <w:bookmarkStart w:id="2" w:name="OLE_LINK6"/>
      <w:r>
        <w:rPr>
          <w:rFonts w:hint="eastAsia" w:cstheme="minorBidi"/>
          <w:b/>
          <w:bCs/>
          <w:color w:val="auto"/>
          <w:kern w:val="2"/>
          <w:sz w:val="32"/>
          <w:szCs w:val="22"/>
          <w:lang w:val="en-US" w:eastAsia="zh-CN" w:bidi="ar-SA"/>
        </w:rPr>
        <w:t>5</w:t>
      </w:r>
      <w:r>
        <w:rPr>
          <w:rFonts w:hint="eastAsia" w:ascii="仿宋_GB2312" w:eastAsia="仿宋_GB2312" w:hAnsiTheme="minorHAnsi" w:cstheme="minorBidi"/>
          <w:b/>
          <w:bCs/>
          <w:color w:val="auto"/>
          <w:kern w:val="2"/>
          <w:sz w:val="32"/>
          <w:szCs w:val="22"/>
          <w:lang w:val="en-US" w:eastAsia="zh-CN" w:bidi="ar-SA"/>
        </w:rPr>
        <w:t>.</w:t>
      </w:r>
      <w:r>
        <w:rPr>
          <w:rFonts w:hint="eastAsia" w:cstheme="minorBidi"/>
          <w:b/>
          <w:bCs/>
          <w:color w:val="auto"/>
          <w:kern w:val="2"/>
          <w:sz w:val="32"/>
          <w:szCs w:val="22"/>
          <w:lang w:val="en-US" w:eastAsia="zh-CN" w:bidi="ar-SA"/>
        </w:rPr>
        <w:t>推动外贸发展质量稳步提升</w:t>
      </w:r>
      <w:r>
        <w:rPr>
          <w:rFonts w:hint="eastAsia"/>
          <w:b/>
          <w:bCs/>
          <w:color w:val="auto"/>
          <w:highlight w:val="none"/>
          <w:lang w:val="en-US" w:eastAsia="zh"/>
        </w:rPr>
        <w:t>。</w:t>
      </w:r>
      <w:bookmarkEnd w:id="2"/>
      <w:r>
        <w:rPr>
          <w:rFonts w:hint="eastAsia"/>
          <w:b w:val="0"/>
          <w:bCs w:val="0"/>
          <w:color w:val="auto"/>
          <w:highlight w:val="none"/>
          <w:lang w:val="en-US" w:eastAsia="zh-CN"/>
        </w:rPr>
        <w:t>深入开展“项目建设年”活动，紧盯重点外贸企业，积极实施“一企一策”行动。全力挖掘培育外向型企业，引导企业“出海”拓展市场，推动外贸持续提升。</w:t>
      </w:r>
      <w:r>
        <w:rPr>
          <w:rFonts w:hint="eastAsia"/>
          <w:color w:val="auto"/>
          <w:highlight w:val="none"/>
        </w:rPr>
        <w:t>对</w:t>
      </w:r>
      <w:r>
        <w:rPr>
          <w:rFonts w:hint="eastAsia"/>
          <w:color w:val="auto"/>
          <w:highlight w:val="none"/>
          <w:lang w:val="en-US" w:eastAsia="zh-CN"/>
        </w:rPr>
        <w:t>全区排名前2名并在</w:t>
      </w:r>
      <w:r>
        <w:rPr>
          <w:rFonts w:hint="eastAsia"/>
          <w:color w:val="auto"/>
          <w:highlight w:val="none"/>
        </w:rPr>
        <w:t>当年进</w:t>
      </w:r>
      <w:r>
        <w:rPr>
          <w:rFonts w:hint="eastAsia"/>
          <w:color w:val="auto"/>
          <w:highlight w:val="none"/>
          <w:lang w:eastAsia="zh-CN"/>
        </w:rPr>
        <w:t>出</w:t>
      </w:r>
      <w:r>
        <w:rPr>
          <w:rFonts w:hint="eastAsia"/>
          <w:color w:val="auto"/>
          <w:highlight w:val="none"/>
        </w:rPr>
        <w:t>口额</w:t>
      </w:r>
      <w:r>
        <w:rPr>
          <w:rFonts w:hint="eastAsia"/>
          <w:color w:val="auto"/>
          <w:highlight w:val="none"/>
          <w:lang w:val="en-US" w:eastAsia="zh-CN"/>
        </w:rPr>
        <w:t>超过</w:t>
      </w:r>
      <w:r>
        <w:rPr>
          <w:rFonts w:hint="eastAsia"/>
          <w:color w:val="auto"/>
          <w:highlight w:val="none"/>
        </w:rPr>
        <w:t>100</w:t>
      </w:r>
      <w:r>
        <w:rPr>
          <w:rFonts w:hint="eastAsia"/>
          <w:color w:val="auto"/>
          <w:highlight w:val="none"/>
          <w:lang w:val="en-US" w:eastAsia="zh-CN"/>
        </w:rPr>
        <w:t>0</w:t>
      </w:r>
      <w:r>
        <w:rPr>
          <w:rFonts w:hint="eastAsia"/>
          <w:color w:val="auto"/>
          <w:highlight w:val="none"/>
        </w:rPr>
        <w:t>万元</w:t>
      </w:r>
      <w:r>
        <w:rPr>
          <w:rFonts w:hint="eastAsia"/>
          <w:color w:val="auto"/>
          <w:highlight w:val="none"/>
          <w:lang w:val="en-US" w:eastAsia="zh-CN"/>
        </w:rPr>
        <w:t>的</w:t>
      </w:r>
      <w:r>
        <w:rPr>
          <w:rFonts w:hint="eastAsia"/>
          <w:color w:val="auto"/>
          <w:highlight w:val="none"/>
        </w:rPr>
        <w:t>外贸企业</w:t>
      </w:r>
      <w:r>
        <w:rPr>
          <w:rFonts w:hint="eastAsia"/>
          <w:color w:val="auto"/>
          <w:highlight w:val="none"/>
          <w:lang w:eastAsia="zh-CN"/>
        </w:rPr>
        <w:t>，</w:t>
      </w:r>
      <w:r>
        <w:rPr>
          <w:rFonts w:hint="eastAsia"/>
          <w:color w:val="auto"/>
          <w:highlight w:val="none"/>
          <w:lang w:val="en-US" w:eastAsia="zh-CN"/>
        </w:rPr>
        <w:t>分别奖励3万、2万元。力争到2027年，进出口贸易额达到1.5亿元，新增外贸实绩企业3家。</w:t>
      </w:r>
    </w:p>
    <w:p w14:paraId="09C38964">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hAnsi="仿宋_GB2312" w:cs="仿宋_GB2312"/>
          <w:color w:val="auto"/>
          <w:sz w:val="32"/>
          <w:szCs w:val="32"/>
          <w:highlight w:val="none"/>
          <w:lang w:val="en-US" w:eastAsia="zh-CN"/>
        </w:rPr>
      </w:pPr>
      <w:r>
        <w:rPr>
          <w:rFonts w:hint="eastAsia"/>
          <w:b/>
          <w:bCs/>
          <w:color w:val="auto"/>
          <w:highlight w:val="none"/>
          <w:lang w:val="en-US" w:eastAsia="zh-CN"/>
        </w:rPr>
        <w:t>6.</w:t>
      </w:r>
      <w:r>
        <w:rPr>
          <w:rFonts w:hint="eastAsia"/>
          <w:b/>
          <w:bCs/>
          <w:color w:val="auto"/>
          <w:highlight w:val="none"/>
          <w:lang w:val="en-US" w:eastAsia="zh"/>
        </w:rPr>
        <w:t>支持企业开拓国际市场。</w:t>
      </w:r>
      <w:r>
        <w:rPr>
          <w:rFonts w:hint="eastAsia"/>
          <w:b w:val="0"/>
          <w:bCs w:val="0"/>
          <w:color w:val="auto"/>
          <w:highlight w:val="none"/>
          <w:lang w:val="en-US" w:eastAsia="zh-CN"/>
        </w:rPr>
        <w:t>支持企业参加境外举办的各类展会，助力企业拓市场、抓订单。</w:t>
      </w:r>
      <w:r>
        <w:rPr>
          <w:rFonts w:hint="eastAsia" w:ascii="仿宋_GB2312" w:hAnsi="仿宋_GB2312" w:eastAsia="仿宋_GB2312" w:cs="仿宋_GB2312"/>
          <w:color w:val="auto"/>
          <w:sz w:val="32"/>
          <w:szCs w:val="32"/>
          <w:highlight w:val="none"/>
          <w:lang w:eastAsia="zh-CN"/>
        </w:rPr>
        <w:t>对</w:t>
      </w:r>
      <w:r>
        <w:rPr>
          <w:rFonts w:hint="eastAsia" w:hAnsi="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lang w:eastAsia="zh-CN"/>
        </w:rPr>
        <w:t>内企业</w:t>
      </w:r>
      <w:r>
        <w:rPr>
          <w:rFonts w:hint="eastAsia" w:hAnsi="仿宋_GB2312" w:cs="仿宋_GB2312"/>
          <w:color w:val="auto"/>
          <w:sz w:val="32"/>
          <w:szCs w:val="32"/>
          <w:highlight w:val="none"/>
          <w:lang w:eastAsia="zh-CN"/>
        </w:rPr>
        <w:t>当</w:t>
      </w:r>
      <w:r>
        <w:rPr>
          <w:rFonts w:hint="eastAsia" w:ascii="仿宋_GB2312" w:hAnsi="仿宋_GB2312" w:eastAsia="仿宋_GB2312" w:cs="仿宋_GB2312"/>
          <w:color w:val="auto"/>
          <w:sz w:val="32"/>
          <w:szCs w:val="32"/>
          <w:highlight w:val="none"/>
          <w:lang w:eastAsia="zh-CN"/>
        </w:rPr>
        <w:t>年为拓展国际市场以参展商名义实地参加省重点境外展会目录</w:t>
      </w:r>
      <w:r>
        <w:rPr>
          <w:rFonts w:hint="eastAsia" w:hAnsi="仿宋_GB2312" w:cs="仿宋_GB2312"/>
          <w:color w:val="auto"/>
          <w:sz w:val="32"/>
          <w:szCs w:val="32"/>
          <w:highlight w:val="none"/>
          <w:lang w:val="en-US" w:eastAsia="zh-CN"/>
        </w:rPr>
        <w:t>外的</w:t>
      </w:r>
      <w:r>
        <w:rPr>
          <w:rFonts w:hint="eastAsia" w:ascii="仿宋_GB2312" w:hAnsi="仿宋_GB2312" w:eastAsia="仿宋_GB2312" w:cs="仿宋_GB2312"/>
          <w:color w:val="auto"/>
          <w:sz w:val="32"/>
          <w:szCs w:val="32"/>
          <w:highlight w:val="none"/>
          <w:lang w:eastAsia="zh-CN"/>
        </w:rPr>
        <w:t>境外展会或境内重点国际性展会的展位费给予不超过70%的支持，单个企业年度支持总额不超过30万元。对</w:t>
      </w:r>
      <w:r>
        <w:rPr>
          <w:rFonts w:hint="eastAsia" w:hAnsi="仿宋_GB2312" w:cs="仿宋_GB2312"/>
          <w:color w:val="auto"/>
          <w:sz w:val="32"/>
          <w:szCs w:val="32"/>
          <w:highlight w:val="none"/>
          <w:lang w:eastAsia="zh-CN"/>
        </w:rPr>
        <w:t>区内</w:t>
      </w:r>
      <w:r>
        <w:rPr>
          <w:rFonts w:hint="eastAsia" w:ascii="仿宋_GB2312" w:hAnsi="仿宋_GB2312" w:eastAsia="仿宋_GB2312" w:cs="仿宋_GB2312"/>
          <w:color w:val="auto"/>
          <w:sz w:val="32"/>
          <w:szCs w:val="32"/>
          <w:highlight w:val="none"/>
          <w:lang w:eastAsia="zh-CN"/>
        </w:rPr>
        <w:t>企业</w:t>
      </w:r>
      <w:r>
        <w:rPr>
          <w:rFonts w:hint="eastAsia" w:hAnsi="仿宋_GB2312" w:cs="仿宋_GB2312"/>
          <w:color w:val="auto"/>
          <w:sz w:val="32"/>
          <w:szCs w:val="32"/>
          <w:highlight w:val="none"/>
          <w:lang w:eastAsia="zh-CN"/>
        </w:rPr>
        <w:t>当</w:t>
      </w:r>
      <w:r>
        <w:rPr>
          <w:rFonts w:hint="eastAsia" w:ascii="仿宋_GB2312" w:hAnsi="仿宋_GB2312" w:eastAsia="仿宋_GB2312" w:cs="仿宋_GB2312"/>
          <w:color w:val="auto"/>
          <w:sz w:val="32"/>
          <w:szCs w:val="32"/>
          <w:highlight w:val="none"/>
          <w:lang w:eastAsia="zh-CN"/>
        </w:rPr>
        <w:t>年以采购商名义实地参加境外展会开展国际采购且签订采购协议的，给予不超过实际发生人员费用50%的支持，单个企业年度支持总额不超过5万元。</w:t>
      </w:r>
    </w:p>
    <w:p w14:paraId="249E8E7D">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eastAsia="仿宋_GB2312"/>
          <w:color w:val="auto"/>
          <w:highlight w:val="none"/>
          <w:u w:val="none"/>
          <w:lang w:val="en-US" w:eastAsia="zh-CN"/>
        </w:rPr>
      </w:pPr>
      <w:r>
        <w:rPr>
          <w:rFonts w:hint="eastAsia"/>
          <w:b/>
          <w:bCs/>
          <w:color w:val="auto"/>
          <w:highlight w:val="none"/>
          <w:u w:val="none"/>
          <w:lang w:val="en-US" w:eastAsia="zh-CN"/>
        </w:rPr>
        <w:t>7.有效提升外资利用水平。</w:t>
      </w:r>
      <w:r>
        <w:rPr>
          <w:rFonts w:hint="eastAsia" w:hAnsi="仿宋_GB2312" w:cs="仿宋_GB2312"/>
          <w:b w:val="0"/>
          <w:bCs w:val="0"/>
          <w:i w:val="0"/>
          <w:iCs w:val="0"/>
          <w:caps w:val="0"/>
          <w:color w:val="auto"/>
          <w:spacing w:val="0"/>
          <w:sz w:val="32"/>
          <w:szCs w:val="32"/>
          <w:shd w:val="clear" w:fill="FFFFFF"/>
          <w:lang w:val="en-US" w:eastAsia="zh-CN"/>
        </w:rPr>
        <w:t>持续深入优化营商环境，进一步加大招商引资力度，吸引外资投资屈原。对企业</w:t>
      </w:r>
      <w:r>
        <w:rPr>
          <w:rFonts w:hint="eastAsia"/>
          <w:color w:val="auto"/>
          <w:highlight w:val="none"/>
          <w:u w:val="none"/>
          <w:lang w:val="en-US" w:eastAsia="zh-CN"/>
        </w:rPr>
        <w:t>当年实际使用外资额达</w:t>
      </w:r>
      <w:r>
        <w:rPr>
          <w:rFonts w:hint="eastAsia"/>
          <w:color w:val="auto"/>
          <w:highlight w:val="none"/>
          <w:u w:val="none"/>
          <w:lang w:val="en-US" w:eastAsia="zh"/>
        </w:rPr>
        <w:t>50</w:t>
      </w:r>
      <w:r>
        <w:rPr>
          <w:rFonts w:hint="eastAsia"/>
          <w:color w:val="auto"/>
          <w:highlight w:val="none"/>
          <w:u w:val="none"/>
          <w:lang w:val="en-US" w:eastAsia="zh-CN"/>
        </w:rPr>
        <w:t>万美元</w:t>
      </w:r>
      <w:r>
        <w:rPr>
          <w:rFonts w:hint="eastAsia"/>
          <w:color w:val="auto"/>
          <w:highlight w:val="none"/>
          <w:u w:val="none"/>
        </w:rPr>
        <w:t>(含)以上的企业,按其当年实际使用外资额</w:t>
      </w:r>
      <w:r>
        <w:rPr>
          <w:rFonts w:hint="eastAsia"/>
          <w:color w:val="auto"/>
          <w:highlight w:val="none"/>
          <w:u w:val="none"/>
          <w:lang w:eastAsia="zh-CN"/>
        </w:rPr>
        <w:t>的</w:t>
      </w:r>
      <w:r>
        <w:rPr>
          <w:rFonts w:hint="eastAsia"/>
          <w:color w:val="auto"/>
          <w:highlight w:val="none"/>
          <w:u w:val="none"/>
          <w:lang w:val="en-US" w:eastAsia="zh-CN"/>
        </w:rPr>
        <w:t>1</w:t>
      </w:r>
      <w:r>
        <w:rPr>
          <w:rFonts w:hint="eastAsia"/>
          <w:color w:val="auto"/>
          <w:highlight w:val="none"/>
          <w:u w:val="none"/>
        </w:rPr>
        <w:t>%予以奖励，最高奖励</w:t>
      </w:r>
      <w:r>
        <w:rPr>
          <w:rFonts w:hint="eastAsia"/>
          <w:color w:val="auto"/>
          <w:highlight w:val="none"/>
          <w:u w:val="none"/>
          <w:lang w:val="en-US" w:eastAsia="zh-CN"/>
        </w:rPr>
        <w:t>不超过</w:t>
      </w:r>
      <w:r>
        <w:rPr>
          <w:rFonts w:hint="eastAsia"/>
          <w:color w:val="auto"/>
          <w:highlight w:val="none"/>
          <w:u w:val="none"/>
          <w:lang w:eastAsia="zh"/>
        </w:rPr>
        <w:t>10</w:t>
      </w:r>
      <w:r>
        <w:rPr>
          <w:rFonts w:hint="eastAsia"/>
          <w:color w:val="auto"/>
          <w:highlight w:val="none"/>
          <w:u w:val="none"/>
        </w:rPr>
        <w:t>万元。</w:t>
      </w:r>
      <w:r>
        <w:rPr>
          <w:rFonts w:hint="eastAsia"/>
          <w:color w:val="auto"/>
          <w:highlight w:val="none"/>
          <w:u w:val="none"/>
          <w:lang w:val="en-US" w:eastAsia="zh-CN"/>
        </w:rPr>
        <w:t>力争全区使用外资达到300万美元。</w:t>
      </w:r>
    </w:p>
    <w:p w14:paraId="6196722C">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color w:val="auto"/>
          <w:highlight w:val="none"/>
          <w:u w:val="none"/>
          <w:lang w:val="en-US" w:eastAsia="zh-CN"/>
        </w:rPr>
      </w:pPr>
      <w:r>
        <w:rPr>
          <w:rFonts w:hint="eastAsia"/>
          <w:b/>
          <w:bCs/>
          <w:color w:val="auto"/>
          <w:highlight w:val="none"/>
          <w:u w:val="none"/>
          <w:lang w:val="en-US" w:eastAsia="zh-CN"/>
        </w:rPr>
        <w:t>8.逐步拓宽外经合作领域</w:t>
      </w:r>
      <w:r>
        <w:rPr>
          <w:rFonts w:hint="default"/>
          <w:b/>
          <w:bCs/>
          <w:color w:val="auto"/>
          <w:highlight w:val="none"/>
          <w:u w:val="none"/>
          <w:lang w:val="en-US" w:eastAsia="zh-CN"/>
        </w:rPr>
        <w:t>。</w:t>
      </w:r>
      <w:r>
        <w:rPr>
          <w:rFonts w:hint="eastAsia" w:ascii="仿宋_GB2312" w:hAnsi="仿宋_GB2312" w:eastAsia="仿宋_GB2312" w:cs="仿宋_GB2312"/>
          <w:i w:val="0"/>
          <w:iCs w:val="0"/>
          <w:caps w:val="0"/>
          <w:color w:val="auto"/>
          <w:spacing w:val="0"/>
          <w:sz w:val="32"/>
          <w:szCs w:val="32"/>
          <w:shd w:val="clear" w:fill="FCFCFC"/>
        </w:rPr>
        <w:t>支持</w:t>
      </w:r>
      <w:r>
        <w:rPr>
          <w:rFonts w:hint="eastAsia" w:hAnsi="仿宋_GB2312" w:cs="仿宋_GB2312"/>
          <w:i w:val="0"/>
          <w:iCs w:val="0"/>
          <w:caps w:val="0"/>
          <w:color w:val="auto"/>
          <w:spacing w:val="0"/>
          <w:sz w:val="32"/>
          <w:szCs w:val="32"/>
          <w:shd w:val="clear" w:fill="FCFCFC"/>
          <w:lang w:val="en-US" w:eastAsia="zh-CN"/>
        </w:rPr>
        <w:t>域内</w:t>
      </w:r>
      <w:r>
        <w:rPr>
          <w:rFonts w:hint="eastAsia" w:ascii="仿宋_GB2312" w:hAnsi="仿宋_GB2312" w:eastAsia="仿宋_GB2312" w:cs="仿宋_GB2312"/>
          <w:i w:val="0"/>
          <w:iCs w:val="0"/>
          <w:caps w:val="0"/>
          <w:color w:val="auto"/>
          <w:spacing w:val="0"/>
          <w:sz w:val="32"/>
          <w:szCs w:val="32"/>
          <w:shd w:val="clear" w:fill="FCFCFC"/>
        </w:rPr>
        <w:t>企业拓展全球市场的战略选择，推动高水平对外开放、构建新发展格局。</w:t>
      </w:r>
      <w:r>
        <w:rPr>
          <w:rFonts w:hint="default"/>
          <w:color w:val="auto"/>
          <w:highlight w:val="none"/>
          <w:u w:val="none"/>
          <w:lang w:val="en-US" w:eastAsia="zh-CN"/>
        </w:rPr>
        <w:t>对本区企业在商务部门完成境外投资备案或核准手续，并取得《企业境外投资证书》,境外相关登记注册手续齐全，且</w:t>
      </w:r>
      <w:r>
        <w:rPr>
          <w:rFonts w:hint="eastAsia"/>
          <w:color w:val="auto"/>
          <w:highlight w:val="none"/>
          <w:u w:val="none"/>
          <w:lang w:val="en-US" w:eastAsia="zh-CN"/>
        </w:rPr>
        <w:t>当年</w:t>
      </w:r>
      <w:r>
        <w:rPr>
          <w:rFonts w:hint="default"/>
          <w:color w:val="auto"/>
          <w:highlight w:val="none"/>
          <w:u w:val="none"/>
          <w:lang w:val="en-US" w:eastAsia="zh-CN"/>
        </w:rPr>
        <w:t>境外中方投资</w:t>
      </w:r>
      <w:r>
        <w:rPr>
          <w:rFonts w:hint="eastAsia"/>
          <w:color w:val="auto"/>
          <w:highlight w:val="none"/>
          <w:u w:val="none"/>
          <w:lang w:val="en-US" w:eastAsia="zh-CN"/>
        </w:rPr>
        <w:t>额在50万美元以上的</w:t>
      </w:r>
      <w:r>
        <w:rPr>
          <w:rFonts w:hint="eastAsia"/>
          <w:color w:val="auto"/>
          <w:highlight w:val="none"/>
          <w:u w:val="none"/>
          <w:lang w:val="en-US" w:eastAsia="zh"/>
        </w:rPr>
        <w:t>奖励2万元</w:t>
      </w:r>
      <w:r>
        <w:rPr>
          <w:rFonts w:hint="default"/>
          <w:color w:val="auto"/>
          <w:highlight w:val="none"/>
          <w:u w:val="none"/>
          <w:lang w:val="en-US" w:eastAsia="zh-CN"/>
        </w:rPr>
        <w:t>。</w:t>
      </w:r>
      <w:r>
        <w:rPr>
          <w:rFonts w:hint="eastAsia"/>
          <w:color w:val="auto"/>
          <w:highlight w:val="none"/>
          <w:u w:val="none"/>
          <w:lang w:val="en-US" w:eastAsia="zh-CN"/>
        </w:rPr>
        <w:t>力争2027年</w:t>
      </w:r>
      <w:r>
        <w:rPr>
          <w:rFonts w:hint="default"/>
          <w:color w:val="auto"/>
          <w:highlight w:val="none"/>
          <w:u w:val="none"/>
          <w:lang w:val="en-US" w:eastAsia="zh-CN"/>
        </w:rPr>
        <w:t>中方投资</w:t>
      </w:r>
      <w:r>
        <w:rPr>
          <w:rFonts w:hint="eastAsia"/>
          <w:color w:val="auto"/>
          <w:highlight w:val="none"/>
          <w:u w:val="none"/>
          <w:lang w:val="en-US" w:eastAsia="zh-CN"/>
        </w:rPr>
        <w:t>额达100万美元。</w:t>
      </w:r>
    </w:p>
    <w:p w14:paraId="662F41E0">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highlight w:val="none"/>
          <w:u w:val="none"/>
          <w:lang w:val="en-US" w:eastAsia="zh-CN"/>
        </w:rPr>
      </w:pPr>
      <w:r>
        <w:rPr>
          <w:rFonts w:hint="eastAsia" w:ascii="黑体" w:hAnsi="黑体" w:eastAsia="黑体" w:cs="黑体"/>
          <w:color w:val="auto"/>
          <w:highlight w:val="none"/>
          <w:u w:val="none"/>
          <w:lang w:val="en-US" w:eastAsia="zh-CN"/>
        </w:rPr>
        <w:t>三、促进电商高质量发展</w:t>
      </w:r>
    </w:p>
    <w:p w14:paraId="257E25CF">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eastAsia="仿宋_GB2312"/>
          <w:color w:val="auto"/>
          <w:highlight w:val="none"/>
          <w:lang w:val="en-US" w:eastAsia="zh-CN"/>
        </w:rPr>
      </w:pPr>
      <w:r>
        <w:rPr>
          <w:rFonts w:hint="eastAsia"/>
          <w:b/>
          <w:bCs/>
          <w:color w:val="auto"/>
          <w:highlight w:val="none"/>
          <w:lang w:val="en-US" w:eastAsia="zh-CN"/>
        </w:rPr>
        <w:t>9.努力推动跨境电子商务取得突破。</w:t>
      </w:r>
      <w:r>
        <w:rPr>
          <w:rFonts w:hint="eastAsia" w:hAnsi="仿宋_GB2312" w:cs="仿宋_GB2312"/>
          <w:i w:val="0"/>
          <w:iCs w:val="0"/>
          <w:caps w:val="0"/>
          <w:color w:val="auto"/>
          <w:spacing w:val="0"/>
          <w:sz w:val="32"/>
          <w:szCs w:val="32"/>
          <w:shd w:val="clear" w:fill="FFFFFF"/>
          <w:lang w:val="en-US" w:eastAsia="zh-CN"/>
        </w:rPr>
        <w:t>抢抓跨境电商风口，把握国家政策红利推动跨境电子商务助力传统产业转型升级</w:t>
      </w:r>
      <w:r>
        <w:rPr>
          <w:rFonts w:hint="eastAsia" w:hAnsi="仿宋_GB2312" w:cs="仿宋_GB2312"/>
          <w:i w:val="0"/>
          <w:iCs w:val="0"/>
          <w:caps w:val="0"/>
          <w:color w:val="auto"/>
          <w:spacing w:val="0"/>
          <w:sz w:val="32"/>
          <w:szCs w:val="32"/>
          <w:shd w:val="clear" w:fill="FFFFFF"/>
          <w:lang w:eastAsia="zh-CN"/>
        </w:rPr>
        <w:t>。</w:t>
      </w:r>
      <w:r>
        <w:rPr>
          <w:rFonts w:hint="eastAsia"/>
          <w:color w:val="auto"/>
          <w:highlight w:val="none"/>
        </w:rPr>
        <w:t>对从事跨境电商年销售额首次达到500万元、2000万元、4000万元以上企业，分别一次性奖励2万元、</w:t>
      </w:r>
      <w:r>
        <w:rPr>
          <w:rFonts w:hint="eastAsia"/>
          <w:color w:val="auto"/>
          <w:highlight w:val="none"/>
          <w:lang w:val="en-US" w:eastAsia="zh-CN"/>
        </w:rPr>
        <w:t>3</w:t>
      </w:r>
      <w:r>
        <w:rPr>
          <w:rFonts w:hint="eastAsia"/>
          <w:color w:val="auto"/>
          <w:highlight w:val="none"/>
        </w:rPr>
        <w:t>万元、</w:t>
      </w:r>
      <w:r>
        <w:rPr>
          <w:rFonts w:hint="eastAsia"/>
          <w:color w:val="auto"/>
          <w:highlight w:val="none"/>
          <w:lang w:val="en-US" w:eastAsia="zh-CN"/>
        </w:rPr>
        <w:t>5</w:t>
      </w:r>
      <w:r>
        <w:rPr>
          <w:rFonts w:hint="eastAsia"/>
          <w:color w:val="auto"/>
          <w:highlight w:val="none"/>
        </w:rPr>
        <w:t>万元。</w:t>
      </w:r>
      <w:r>
        <w:rPr>
          <w:rFonts w:hint="eastAsia"/>
          <w:color w:val="auto"/>
          <w:highlight w:val="none"/>
          <w:lang w:val="en-US" w:eastAsia="zh-CN"/>
        </w:rPr>
        <w:t>到2027年，</w:t>
      </w:r>
      <w:r>
        <w:rPr>
          <w:rFonts w:hint="eastAsia"/>
          <w:color w:val="auto"/>
          <w:highlight w:val="none"/>
        </w:rPr>
        <w:t>跨境电商年销售额</w:t>
      </w:r>
      <w:r>
        <w:rPr>
          <w:rFonts w:hint="eastAsia"/>
          <w:color w:val="auto"/>
          <w:highlight w:val="none"/>
          <w:lang w:val="en-US" w:eastAsia="zh-CN"/>
        </w:rPr>
        <w:t>达到0.5亿。</w:t>
      </w:r>
    </w:p>
    <w:p w14:paraId="6E26694D">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b w:val="0"/>
          <w:bCs w:val="0"/>
          <w:color w:val="auto"/>
          <w:highlight w:val="none"/>
          <w:lang w:val="en-US" w:eastAsia="zh-CN"/>
        </w:rPr>
      </w:pPr>
      <w:r>
        <w:rPr>
          <w:rFonts w:hint="eastAsia"/>
          <w:b/>
          <w:bCs/>
          <w:color w:val="auto"/>
          <w:highlight w:val="none"/>
          <w:lang w:val="en-US" w:eastAsia="zh-CN"/>
        </w:rPr>
        <w:t>10.推进电子商务经济与加工制造实体经济深度融合发展。</w:t>
      </w:r>
      <w:r>
        <w:rPr>
          <w:rFonts w:hint="eastAsia"/>
          <w:b w:val="0"/>
          <w:bCs w:val="0"/>
          <w:color w:val="auto"/>
          <w:highlight w:val="none"/>
          <w:lang w:val="en-US" w:eastAsia="zh-CN"/>
        </w:rPr>
        <w:t>打造本土电商品牌，鼓励企业挖掘屈原特色产品文化内涵，积极着力培育农村电商创业致富带头人，不断完善区、乡、村物流配送服务，推动电商稳步发展。支持直播、短视频号培育，带货直播账号粉丝数首次超过300万以上并实现直播带货业绩300万元以上的，一次性奖励3万元。到2027年，直播带货业绩达到3000万。</w:t>
      </w:r>
    </w:p>
    <w:p w14:paraId="25E4ABEB">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b w:val="0"/>
          <w:bCs w:val="0"/>
          <w:color w:val="auto"/>
          <w:highlight w:val="none"/>
          <w:lang w:val="en-US" w:eastAsia="zh-CN"/>
        </w:rPr>
      </w:pPr>
      <w:r>
        <w:rPr>
          <w:rFonts w:hint="eastAsia"/>
          <w:b/>
          <w:bCs/>
          <w:color w:val="auto"/>
          <w:highlight w:val="none"/>
          <w:lang w:val="en-US" w:eastAsia="zh-CN"/>
        </w:rPr>
        <w:t>11.</w:t>
      </w:r>
      <w:bookmarkStart w:id="3" w:name="OLE_LINK4"/>
      <w:r>
        <w:rPr>
          <w:rFonts w:hint="eastAsia"/>
          <w:b/>
          <w:bCs/>
          <w:color w:val="auto"/>
          <w:highlight w:val="none"/>
          <w:lang w:val="en-US" w:eastAsia="zh-CN"/>
        </w:rPr>
        <w:t>支持保障电商协会建设</w:t>
      </w:r>
      <w:bookmarkEnd w:id="3"/>
      <w:r>
        <w:rPr>
          <w:rFonts w:hint="eastAsia"/>
          <w:b/>
          <w:bCs/>
          <w:color w:val="auto"/>
          <w:highlight w:val="none"/>
          <w:lang w:val="en-US" w:eastAsia="zh-CN"/>
        </w:rPr>
        <w:t>。</w:t>
      </w:r>
      <w:r>
        <w:rPr>
          <w:rFonts w:hint="eastAsia"/>
          <w:b w:val="0"/>
          <w:bCs w:val="0"/>
          <w:color w:val="auto"/>
          <w:highlight w:val="none"/>
          <w:lang w:val="en-US" w:eastAsia="zh-CN"/>
        </w:rPr>
        <w:t>推动行业规范化发展，促进资源整合与协同创新。对新成立电商协会开展电商学习、培训2次以上、拍摄宣传推广本地政府及企业视频12个以上、孵化视频主播5个以上，正式会员达到30个，线上销售额达1亿元的，给予年度内10万元的奖励。对当年线上销售额增长10%以上，按照增长部分千分之一的比例予以奖励，最高奖励不超过5万元（新成立协会不重复支持）。到2027年，线上销售额达3亿。</w:t>
      </w:r>
    </w:p>
    <w:p w14:paraId="0DD0594B">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b w:val="0"/>
          <w:bCs w:val="0"/>
          <w:color w:val="auto"/>
          <w:highlight w:val="none"/>
          <w:lang w:val="en-US" w:eastAsia="zh-CN"/>
        </w:rPr>
      </w:pPr>
      <w:r>
        <w:rPr>
          <w:rFonts w:hint="eastAsia"/>
          <w:b/>
          <w:bCs/>
          <w:color w:val="auto"/>
          <w:highlight w:val="none"/>
          <w:lang w:val="en-US" w:eastAsia="zh-CN"/>
        </w:rPr>
        <w:t>1</w:t>
      </w:r>
      <w:bookmarkStart w:id="4" w:name="OLE_LINK5"/>
      <w:r>
        <w:rPr>
          <w:rFonts w:hint="eastAsia"/>
          <w:b/>
          <w:bCs/>
          <w:color w:val="auto"/>
          <w:highlight w:val="none"/>
          <w:lang w:val="en-US" w:eastAsia="zh-CN"/>
        </w:rPr>
        <w:t>2.培育电商示范</w:t>
      </w:r>
      <w:bookmarkEnd w:id="4"/>
      <w:r>
        <w:rPr>
          <w:rFonts w:hint="eastAsia"/>
          <w:b/>
          <w:bCs/>
          <w:color w:val="auto"/>
          <w:highlight w:val="none"/>
          <w:lang w:val="en-US" w:eastAsia="zh-CN"/>
        </w:rPr>
        <w:t>乡镇（街道）、村（社区）。</w:t>
      </w:r>
      <w:r>
        <w:rPr>
          <w:rFonts w:hint="default"/>
          <w:b w:val="0"/>
          <w:bCs w:val="0"/>
          <w:color w:val="auto"/>
          <w:highlight w:val="none"/>
          <w:lang w:val="en-US" w:eastAsia="zh-CN"/>
        </w:rPr>
        <w:t>激活农村经济，畅通城乡双向循环</w:t>
      </w:r>
      <w:r>
        <w:rPr>
          <w:rFonts w:hint="eastAsia"/>
          <w:b w:val="0"/>
          <w:bCs w:val="0"/>
          <w:color w:val="auto"/>
          <w:highlight w:val="none"/>
          <w:lang w:val="en-US" w:eastAsia="zh-CN"/>
        </w:rPr>
        <w:t>。年度网络零售额达到100万元以上，村内活跃网店数量达到5家以上的行政村（社区），认定为电商村（社区）。电商村（社区）数量达到3个以上（含3个），或者年度网络零售额超过1000万元且活跃网店超过20个的镇（街道），可认定为</w:t>
      </w:r>
      <w:bookmarkStart w:id="5" w:name="OLE_LINK3"/>
      <w:r>
        <w:rPr>
          <w:rFonts w:hint="eastAsia"/>
          <w:b w:val="0"/>
          <w:bCs w:val="0"/>
          <w:color w:val="auto"/>
          <w:highlight w:val="none"/>
          <w:lang w:val="en-US" w:eastAsia="zh-CN"/>
        </w:rPr>
        <w:t>电商镇（街道）</w:t>
      </w:r>
      <w:bookmarkEnd w:id="5"/>
      <w:r>
        <w:rPr>
          <w:rFonts w:hint="eastAsia"/>
          <w:b w:val="0"/>
          <w:bCs w:val="0"/>
          <w:color w:val="auto"/>
          <w:highlight w:val="none"/>
          <w:lang w:val="en-US" w:eastAsia="zh-CN"/>
        </w:rPr>
        <w:t>。对电商村（社区）、电商镇（街道）分别给予5万元、10万元奖励。争取电商村（社区）达到4家，电商镇（街道）达到1家。</w:t>
      </w:r>
    </w:p>
    <w:p w14:paraId="4AFD5307">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highlight w:val="none"/>
          <w:lang w:val="en-US" w:eastAsia="zh-CN"/>
        </w:rPr>
      </w:pPr>
      <w:r>
        <w:rPr>
          <w:rFonts w:hint="eastAsia" w:ascii="黑体" w:hAnsi="黑体" w:eastAsia="黑体" w:cs="黑体"/>
          <w:b w:val="0"/>
          <w:bCs w:val="0"/>
          <w:color w:val="auto"/>
          <w:kern w:val="2"/>
          <w:sz w:val="32"/>
          <w:szCs w:val="22"/>
          <w:lang w:val="en-US" w:eastAsia="zh-CN" w:bidi="ar-SA"/>
        </w:rPr>
        <w:t>四、</w:t>
      </w:r>
      <w:r>
        <w:rPr>
          <w:rFonts w:hint="eastAsia" w:ascii="黑体" w:hAnsi="黑体" w:eastAsia="黑体" w:cs="黑体"/>
          <w:b w:val="0"/>
          <w:bCs w:val="0"/>
          <w:color w:val="auto"/>
          <w:highlight w:val="none"/>
          <w:lang w:val="en-US" w:eastAsia="zh-CN"/>
        </w:rPr>
        <w:t>引导企业科技创新</w:t>
      </w:r>
    </w:p>
    <w:p w14:paraId="2D41499F">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eastAsia="仿宋_GB2312"/>
          <w:color w:val="auto"/>
          <w:highlight w:val="yellow"/>
          <w:lang w:val="en-US" w:eastAsia="zh-CN"/>
        </w:rPr>
      </w:pPr>
      <w:r>
        <w:rPr>
          <w:rFonts w:hint="eastAsia"/>
          <w:b/>
          <w:bCs/>
          <w:color w:val="auto"/>
          <w:highlight w:val="none"/>
          <w:lang w:val="en-US" w:eastAsia="zh-CN"/>
        </w:rPr>
        <w:t>13.加大企业创新投入支持力度。</w:t>
      </w:r>
      <w:r>
        <w:rPr>
          <w:rFonts w:hint="eastAsia"/>
          <w:color w:val="auto"/>
          <w:highlight w:val="none"/>
        </w:rPr>
        <w:t>鼓励企业持续扩大研发规模，同时激励高成长性创新主体，推动区域创新能力提升。对</w:t>
      </w:r>
      <w:r>
        <w:rPr>
          <w:rFonts w:hint="eastAsia"/>
          <w:color w:val="auto"/>
          <w:highlight w:val="none"/>
          <w:lang w:val="en-US" w:eastAsia="zh-CN"/>
        </w:rPr>
        <w:t>当年</w:t>
      </w:r>
      <w:r>
        <w:rPr>
          <w:rFonts w:hint="eastAsia"/>
          <w:color w:val="auto"/>
          <w:highlight w:val="none"/>
        </w:rPr>
        <w:t>区统计平台研发经费投入达到4000万元以上（含4000万元），且实现正增长的区级联网直报企业，奖励5万元；对当年区统计平台研发经费投入增速排名前</w:t>
      </w:r>
      <w:r>
        <w:rPr>
          <w:rFonts w:hint="eastAsia"/>
          <w:color w:val="auto"/>
          <w:highlight w:val="none"/>
          <w:lang w:val="en-US" w:eastAsia="zh-CN"/>
        </w:rPr>
        <w:t>3</w:t>
      </w:r>
      <w:r>
        <w:rPr>
          <w:rFonts w:hint="eastAsia"/>
          <w:color w:val="auto"/>
          <w:highlight w:val="none"/>
        </w:rPr>
        <w:t>位且总量在1500万元以上（含1500万元）的区级联网直报企业，奖励2万元。</w:t>
      </w:r>
    </w:p>
    <w:p w14:paraId="5B69538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jc w:val="both"/>
        <w:textAlignment w:val="auto"/>
        <w:rPr>
          <w:rFonts w:hint="eastAsia" w:ascii="仿宋_GB2312" w:eastAsia="仿宋_GB2312" w:hAnsiTheme="minorHAnsi" w:cstheme="minorBidi"/>
          <w:color w:val="auto"/>
          <w:kern w:val="2"/>
          <w:sz w:val="32"/>
          <w:szCs w:val="22"/>
          <w:highlight w:val="none"/>
          <w:lang w:val="en-US" w:eastAsia="zh-CN" w:bidi="ar-SA"/>
        </w:rPr>
      </w:pPr>
      <w:r>
        <w:rPr>
          <w:rFonts w:hint="eastAsia" w:ascii="仿宋_GB2312" w:eastAsia="仿宋_GB2312" w:hAnsiTheme="minorHAnsi" w:cstheme="minorBidi"/>
          <w:color w:val="auto"/>
          <w:kern w:val="2"/>
          <w:sz w:val="32"/>
          <w:szCs w:val="22"/>
          <w:highlight w:val="none"/>
          <w:lang w:val="en-US" w:eastAsia="zh-CN" w:bidi="ar-SA"/>
        </w:rPr>
        <w:t>采取事前备案，事后补助的方式。近两个纳税年度均已按要求在当年度汇算清缴结束时申报享受研发费用加计扣除政策。高新技术企业按其较上年度新增享受研发费用加计扣除部分的12%给予补助，其他企业按其较上年度新增享受研发费用加计扣除部分的8%给予补助。经核定补助额不足1万元的，不予以补助，原则上单个企业补助金额最高不超过50万元。</w:t>
      </w:r>
    </w:p>
    <w:p w14:paraId="1DFA9DFF">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eastAsia="仿宋_GB2312"/>
          <w:color w:val="auto"/>
          <w:highlight w:val="none"/>
          <w:lang w:val="en-US" w:eastAsia="zh-CN"/>
        </w:rPr>
      </w:pPr>
      <w:r>
        <w:rPr>
          <w:rFonts w:hint="eastAsia" w:ascii="仿宋_GB2312" w:eastAsia="仿宋_GB2312" w:hAnsiTheme="minorHAnsi" w:cstheme="minorBidi"/>
          <w:b/>
          <w:bCs/>
          <w:color w:val="auto"/>
          <w:kern w:val="2"/>
          <w:sz w:val="32"/>
          <w:szCs w:val="22"/>
          <w:highlight w:val="none"/>
          <w:lang w:val="en-US" w:eastAsia="zh-CN" w:bidi="ar-SA"/>
        </w:rPr>
        <w:t>1</w:t>
      </w:r>
      <w:r>
        <w:rPr>
          <w:rFonts w:hint="eastAsia" w:cstheme="minorBidi"/>
          <w:b/>
          <w:bCs/>
          <w:color w:val="auto"/>
          <w:kern w:val="2"/>
          <w:sz w:val="32"/>
          <w:szCs w:val="22"/>
          <w:highlight w:val="none"/>
          <w:lang w:val="en-US" w:eastAsia="zh-CN" w:bidi="ar-SA"/>
        </w:rPr>
        <w:t>4</w:t>
      </w:r>
      <w:r>
        <w:rPr>
          <w:rFonts w:hint="eastAsia" w:ascii="仿宋_GB2312" w:eastAsia="仿宋_GB2312" w:hAnsiTheme="minorHAnsi" w:cstheme="minorBidi"/>
          <w:b/>
          <w:bCs/>
          <w:color w:val="auto"/>
          <w:kern w:val="2"/>
          <w:sz w:val="32"/>
          <w:szCs w:val="22"/>
          <w:highlight w:val="none"/>
          <w:lang w:val="en-US" w:eastAsia="zh-CN" w:bidi="ar-SA"/>
        </w:rPr>
        <w:t>.</w:t>
      </w:r>
      <w:r>
        <w:rPr>
          <w:rFonts w:hint="eastAsia" w:ascii="仿宋_GB2312" w:eastAsia="仿宋_GB2312" w:hAnsiTheme="minorHAnsi" w:cstheme="minorBidi"/>
          <w:b/>
          <w:bCs/>
          <w:color w:val="auto"/>
          <w:kern w:val="2"/>
          <w:sz w:val="32"/>
          <w:szCs w:val="22"/>
          <w:highlight w:val="none"/>
          <w:lang w:val="en-US" w:eastAsia="zh" w:bidi="ar-SA"/>
        </w:rPr>
        <w:t>支持</w:t>
      </w:r>
      <w:r>
        <w:rPr>
          <w:rFonts w:hint="eastAsia" w:ascii="仿宋_GB2312" w:eastAsia="仿宋_GB2312" w:hAnsiTheme="minorHAnsi" w:cstheme="minorBidi"/>
          <w:b/>
          <w:bCs/>
          <w:color w:val="auto"/>
          <w:kern w:val="2"/>
          <w:sz w:val="32"/>
          <w:szCs w:val="22"/>
          <w:highlight w:val="none"/>
          <w:lang w:val="en-US" w:eastAsia="zh-CN" w:bidi="ar-SA"/>
        </w:rPr>
        <w:t>企业</w:t>
      </w:r>
      <w:r>
        <w:rPr>
          <w:rFonts w:hint="eastAsia" w:cstheme="minorBidi"/>
          <w:b/>
          <w:bCs/>
          <w:color w:val="auto"/>
          <w:kern w:val="2"/>
          <w:sz w:val="32"/>
          <w:szCs w:val="22"/>
          <w:highlight w:val="none"/>
          <w:lang w:val="en-US" w:eastAsia="zh-CN" w:bidi="ar-SA"/>
        </w:rPr>
        <w:t>科技成果和</w:t>
      </w:r>
      <w:r>
        <w:rPr>
          <w:rFonts w:hint="eastAsia" w:ascii="仿宋_GB2312" w:eastAsia="仿宋_GB2312" w:hAnsiTheme="minorHAnsi" w:cstheme="minorBidi"/>
          <w:b/>
          <w:bCs/>
          <w:color w:val="auto"/>
          <w:kern w:val="2"/>
          <w:sz w:val="32"/>
          <w:szCs w:val="22"/>
          <w:highlight w:val="none"/>
          <w:lang w:val="en-US" w:eastAsia="zh-CN" w:bidi="ar-SA"/>
        </w:rPr>
        <w:t>技术交易合同</w:t>
      </w:r>
      <w:r>
        <w:rPr>
          <w:rFonts w:hint="eastAsia" w:cstheme="minorBidi"/>
          <w:b/>
          <w:bCs/>
          <w:color w:val="auto"/>
          <w:kern w:val="2"/>
          <w:sz w:val="32"/>
          <w:szCs w:val="22"/>
          <w:highlight w:val="none"/>
          <w:lang w:val="en-US" w:eastAsia="zh-CN" w:bidi="ar-SA"/>
        </w:rPr>
        <w:t>登记</w:t>
      </w:r>
      <w:r>
        <w:rPr>
          <w:rFonts w:hint="eastAsia" w:ascii="仿宋_GB2312" w:eastAsia="仿宋_GB2312" w:hAnsiTheme="minorHAnsi" w:cstheme="minorBidi"/>
          <w:b/>
          <w:bCs/>
          <w:color w:val="auto"/>
          <w:kern w:val="2"/>
          <w:sz w:val="32"/>
          <w:szCs w:val="22"/>
          <w:highlight w:val="none"/>
          <w:lang w:val="en-US" w:eastAsia="zh-CN" w:bidi="ar-SA"/>
        </w:rPr>
        <w:t>。</w:t>
      </w:r>
      <w:r>
        <w:rPr>
          <w:rFonts w:hint="eastAsia" w:ascii="仿宋_GB2312" w:eastAsia="仿宋_GB2312" w:hAnsiTheme="minorHAnsi" w:cstheme="minorBidi"/>
          <w:b w:val="0"/>
          <w:bCs w:val="0"/>
          <w:color w:val="auto"/>
          <w:kern w:val="2"/>
          <w:sz w:val="32"/>
          <w:szCs w:val="22"/>
          <w:highlight w:val="none"/>
          <w:lang w:val="en-US" w:eastAsia="zh-CN" w:bidi="ar-SA"/>
        </w:rPr>
        <w:t>促进科技成果转化，促进技术交易市场活跃发展。对进行科技成果登记的企业，经省科技厅认定发证后，每项科技成果给予0.1万元补助；对当年</w:t>
      </w:r>
      <w:r>
        <w:rPr>
          <w:rFonts w:hint="eastAsia"/>
          <w:color w:val="auto"/>
          <w:highlight w:val="none"/>
        </w:rPr>
        <w:t>经省市技术合同登记部门确认技术合同项数在30-50项的企业奖励1万元，5</w:t>
      </w:r>
      <w:r>
        <w:rPr>
          <w:rFonts w:hint="eastAsia"/>
          <w:color w:val="auto"/>
          <w:highlight w:val="none"/>
          <w:lang w:val="en-US" w:eastAsia="zh-CN"/>
        </w:rPr>
        <w:t>1</w:t>
      </w:r>
      <w:r>
        <w:rPr>
          <w:rFonts w:hint="eastAsia"/>
          <w:color w:val="auto"/>
          <w:highlight w:val="none"/>
        </w:rPr>
        <w:t>-80项的企业奖励2万元，达到80项以上（</w:t>
      </w:r>
      <w:r>
        <w:rPr>
          <w:rFonts w:hint="eastAsia"/>
          <w:color w:val="auto"/>
          <w:highlight w:val="none"/>
          <w:lang w:val="en-US" w:eastAsia="zh-CN"/>
        </w:rPr>
        <w:t>不</w:t>
      </w:r>
      <w:r>
        <w:rPr>
          <w:rFonts w:hint="eastAsia"/>
          <w:color w:val="auto"/>
          <w:highlight w:val="none"/>
        </w:rPr>
        <w:t>含80项）的企业奖励5万元。</w:t>
      </w:r>
      <w:r>
        <w:rPr>
          <w:rFonts w:hint="eastAsia"/>
          <w:color w:val="auto"/>
          <w:highlight w:val="none"/>
          <w:lang w:val="en-US" w:eastAsia="zh-CN"/>
        </w:rPr>
        <w:t>力争到2027年科技成果登记总数达10项，技术合同登记逐年递增。</w:t>
      </w:r>
    </w:p>
    <w:p w14:paraId="0AB2C765">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b w:val="0"/>
          <w:bCs w:val="0"/>
          <w:color w:val="auto"/>
          <w:highlight w:val="none"/>
          <w:lang w:val="en-US" w:eastAsia="zh-CN"/>
        </w:rPr>
      </w:pPr>
      <w:r>
        <w:rPr>
          <w:rFonts w:hint="eastAsia"/>
          <w:b/>
          <w:bCs/>
          <w:color w:val="auto"/>
          <w:highlight w:val="none"/>
          <w:lang w:val="en-US" w:eastAsia="zh-CN"/>
        </w:rPr>
        <w:t>15.</w:t>
      </w:r>
      <w:r>
        <w:rPr>
          <w:rFonts w:hint="eastAsia" w:cstheme="minorBidi"/>
          <w:b/>
          <w:bCs/>
          <w:color w:val="auto"/>
          <w:kern w:val="2"/>
          <w:sz w:val="32"/>
          <w:szCs w:val="22"/>
          <w:highlight w:val="none"/>
          <w:lang w:val="en-US" w:eastAsia="zh-CN" w:bidi="ar-SA"/>
        </w:rPr>
        <w:t>鼓励</w:t>
      </w:r>
      <w:r>
        <w:rPr>
          <w:rFonts w:hint="eastAsia" w:ascii="仿宋_GB2312" w:eastAsia="仿宋_GB2312" w:hAnsiTheme="minorHAnsi" w:cstheme="minorBidi"/>
          <w:b/>
          <w:bCs/>
          <w:color w:val="auto"/>
          <w:kern w:val="2"/>
          <w:sz w:val="32"/>
          <w:szCs w:val="22"/>
          <w:highlight w:val="none"/>
          <w:lang w:val="en-US" w:eastAsia="zh-CN" w:bidi="ar-SA"/>
        </w:rPr>
        <w:t>企业</w:t>
      </w:r>
      <w:r>
        <w:rPr>
          <w:rFonts w:hint="eastAsia" w:cstheme="minorBidi"/>
          <w:b/>
          <w:bCs/>
          <w:color w:val="auto"/>
          <w:kern w:val="2"/>
          <w:sz w:val="32"/>
          <w:szCs w:val="22"/>
          <w:highlight w:val="none"/>
          <w:lang w:val="en-US" w:eastAsia="zh-CN" w:bidi="ar-SA"/>
        </w:rPr>
        <w:t>获得</w:t>
      </w:r>
      <w:r>
        <w:rPr>
          <w:rFonts w:hint="eastAsia" w:ascii="仿宋_GB2312" w:eastAsia="仿宋_GB2312" w:hAnsiTheme="minorHAnsi" w:cstheme="minorBidi"/>
          <w:b/>
          <w:bCs/>
          <w:color w:val="auto"/>
          <w:kern w:val="2"/>
          <w:sz w:val="32"/>
          <w:szCs w:val="22"/>
          <w:highlight w:val="none"/>
          <w:lang w:val="en-US" w:eastAsia="zh-CN" w:bidi="ar-SA"/>
        </w:rPr>
        <w:t>创新成果奖励。</w:t>
      </w:r>
      <w:r>
        <w:rPr>
          <w:rFonts w:hint="eastAsia"/>
          <w:b w:val="0"/>
          <w:bCs w:val="0"/>
          <w:color w:val="auto"/>
          <w:highlight w:val="none"/>
          <w:lang w:val="en-US" w:eastAsia="zh-CN"/>
        </w:rPr>
        <w:t>深入实施创新驱动发展战略，进一步激发企业创新活力，对符合条件的企业给予专项奖励。对获得湖南省决赛一、二、三等奖的企业，分别奖励100万元、50</w:t>
      </w:r>
      <w:r>
        <w:rPr>
          <w:rFonts w:hint="eastAsia"/>
          <w:color w:val="auto"/>
          <w:highlight w:val="none"/>
        </w:rPr>
        <w:t>万元、</w:t>
      </w:r>
      <w:r>
        <w:rPr>
          <w:rFonts w:hint="eastAsia"/>
          <w:color w:val="auto"/>
          <w:highlight w:val="none"/>
          <w:lang w:val="en-US" w:eastAsia="zh-CN"/>
        </w:rPr>
        <w:t>20</w:t>
      </w:r>
      <w:r>
        <w:rPr>
          <w:rFonts w:hint="eastAsia"/>
          <w:color w:val="auto"/>
          <w:highlight w:val="none"/>
        </w:rPr>
        <w:t>万元</w:t>
      </w:r>
      <w:r>
        <w:rPr>
          <w:rFonts w:hint="eastAsia"/>
          <w:color w:val="auto"/>
          <w:highlight w:val="none"/>
          <w:lang w:eastAsia="zh-CN"/>
        </w:rPr>
        <w:t>。</w:t>
      </w:r>
      <w:r>
        <w:rPr>
          <w:rFonts w:hint="eastAsia"/>
          <w:b w:val="0"/>
          <w:bCs w:val="0"/>
          <w:color w:val="auto"/>
          <w:highlight w:val="none"/>
          <w:lang w:val="en-US" w:eastAsia="zh-CN"/>
        </w:rPr>
        <w:t>对企业以及引进人才及其团队在区内研发创新，其所获得的科技成果以所在企业申报获评国家最高科学技术奖的主体，给予100万元奖励；对获评国家自然科学一等奖、二等奖的主体，分别给予50万元、20万元奖励；对获评国家技术发明一等奖、二等奖的主体，分别给予50万元、20万元奖励；对获评国家科学技术进步特等奖、一等奖、二等奖的主体，分别给予50万元、30万元、20万元奖励；对获评湖南省科学技术进步奖特等奖、一等奖、二等奖、三等奖的主体，分别给予20万元、10万元、5万元、3万元奖励。</w:t>
      </w:r>
    </w:p>
    <w:p w14:paraId="722B9258">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highlight w:val="none"/>
          <w:lang w:val="en-US" w:eastAsia="zh-CN"/>
        </w:rPr>
      </w:pPr>
      <w:r>
        <w:rPr>
          <w:rFonts w:hint="eastAsia" w:ascii="黑体" w:hAnsi="黑体" w:eastAsia="黑体" w:cs="黑体"/>
          <w:b w:val="0"/>
          <w:bCs w:val="0"/>
          <w:color w:val="auto"/>
          <w:kern w:val="2"/>
          <w:sz w:val="32"/>
          <w:szCs w:val="22"/>
          <w:lang w:val="en-US" w:eastAsia="zh-CN" w:bidi="ar-SA"/>
        </w:rPr>
        <w:t>五、</w:t>
      </w:r>
      <w:r>
        <w:rPr>
          <w:rFonts w:hint="eastAsia" w:ascii="黑体" w:hAnsi="黑体" w:eastAsia="黑体" w:cs="黑体"/>
          <w:b w:val="0"/>
          <w:bCs w:val="0"/>
          <w:color w:val="auto"/>
          <w:highlight w:val="none"/>
          <w:lang w:val="en-US" w:eastAsia="zh-CN"/>
        </w:rPr>
        <w:t>引导平台科技创新</w:t>
      </w:r>
    </w:p>
    <w:p w14:paraId="2C9149E0">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eastAsia="仿宋_GB2312"/>
          <w:color w:val="auto"/>
          <w:highlight w:val="none"/>
          <w:lang w:val="en-US" w:eastAsia="zh-CN"/>
        </w:rPr>
      </w:pPr>
      <w:r>
        <w:rPr>
          <w:rFonts w:hint="eastAsia" w:ascii="仿宋_GB2312" w:eastAsia="仿宋_GB2312" w:hAnsiTheme="minorHAnsi" w:cstheme="minorBidi"/>
          <w:b/>
          <w:bCs/>
          <w:color w:val="auto"/>
          <w:kern w:val="2"/>
          <w:sz w:val="32"/>
          <w:szCs w:val="22"/>
          <w:highlight w:val="none"/>
          <w:lang w:val="en-US" w:eastAsia="zh-CN" w:bidi="ar-SA"/>
        </w:rPr>
        <w:t>1</w:t>
      </w:r>
      <w:r>
        <w:rPr>
          <w:rFonts w:hint="eastAsia" w:cstheme="minorBidi"/>
          <w:b/>
          <w:bCs/>
          <w:color w:val="auto"/>
          <w:kern w:val="2"/>
          <w:sz w:val="32"/>
          <w:szCs w:val="22"/>
          <w:highlight w:val="none"/>
          <w:lang w:val="en-US" w:eastAsia="zh-CN" w:bidi="ar-SA"/>
        </w:rPr>
        <w:t>6</w:t>
      </w:r>
      <w:r>
        <w:rPr>
          <w:rFonts w:hint="eastAsia" w:ascii="仿宋_GB2312" w:eastAsia="仿宋_GB2312" w:hAnsiTheme="minorHAnsi" w:cstheme="minorBidi"/>
          <w:b/>
          <w:bCs/>
          <w:color w:val="auto"/>
          <w:kern w:val="2"/>
          <w:sz w:val="32"/>
          <w:szCs w:val="22"/>
          <w:highlight w:val="none"/>
          <w:lang w:val="en-US" w:eastAsia="zh-CN" w:bidi="ar-SA"/>
        </w:rPr>
        <w:t>.</w:t>
      </w:r>
      <w:r>
        <w:rPr>
          <w:rFonts w:hint="eastAsia" w:cstheme="minorBidi"/>
          <w:b/>
          <w:bCs/>
          <w:color w:val="auto"/>
          <w:kern w:val="2"/>
          <w:sz w:val="32"/>
          <w:szCs w:val="22"/>
          <w:highlight w:val="none"/>
          <w:lang w:val="en-US" w:eastAsia="zh-CN" w:bidi="ar-SA"/>
        </w:rPr>
        <w:t>促进</w:t>
      </w:r>
      <w:r>
        <w:rPr>
          <w:rFonts w:hint="eastAsia" w:ascii="仿宋_GB2312" w:eastAsia="仿宋_GB2312" w:hAnsiTheme="minorHAnsi" w:cstheme="minorBidi"/>
          <w:b/>
          <w:bCs/>
          <w:color w:val="auto"/>
          <w:kern w:val="2"/>
          <w:sz w:val="32"/>
          <w:szCs w:val="22"/>
          <w:highlight w:val="none"/>
          <w:lang w:val="en-US" w:eastAsia="zh-CN" w:bidi="ar-SA"/>
        </w:rPr>
        <w:t>企业</w:t>
      </w:r>
      <w:r>
        <w:rPr>
          <w:rFonts w:hint="eastAsia" w:cstheme="minorBidi"/>
          <w:b/>
          <w:bCs/>
          <w:color w:val="auto"/>
          <w:kern w:val="2"/>
          <w:sz w:val="32"/>
          <w:szCs w:val="22"/>
          <w:highlight w:val="none"/>
          <w:lang w:val="en-US" w:eastAsia="zh-CN" w:bidi="ar-SA"/>
        </w:rPr>
        <w:t>完善科技平台建设</w:t>
      </w:r>
      <w:r>
        <w:rPr>
          <w:rFonts w:hint="eastAsia" w:ascii="仿宋_GB2312" w:eastAsia="仿宋_GB2312" w:hAnsiTheme="minorHAnsi" w:cstheme="minorBidi"/>
          <w:b/>
          <w:bCs/>
          <w:color w:val="auto"/>
          <w:kern w:val="2"/>
          <w:sz w:val="32"/>
          <w:szCs w:val="22"/>
          <w:highlight w:val="none"/>
          <w:lang w:val="en-US" w:eastAsia="zh-CN" w:bidi="ar-SA"/>
        </w:rPr>
        <w:t>。</w:t>
      </w:r>
      <w:r>
        <w:rPr>
          <w:rFonts w:hint="eastAsia"/>
          <w:color w:val="auto"/>
          <w:highlight w:val="none"/>
          <w:lang w:val="en-US" w:eastAsia="zh-CN"/>
        </w:rPr>
        <w:t>加快科技创新体系建设，鼓励企业加强科技平台建设，提升自主创新能力。对新认定的国家级、省级、市级重点实验室、工程技术研究中心、企业技术中心、技术创新中心、产业技术创新战略联盟、新型研发机构分别按50万元、20万元、10万元的标准给予补助。对新认定的省级院士工作站、专家工作站和博士创新站、博士后工作站分别按20万元、10万元、5万元、5万元的标准给予补助。</w:t>
      </w:r>
      <w:r>
        <w:rPr>
          <w:rFonts w:hint="eastAsia"/>
          <w:color w:val="auto"/>
          <w:highlight w:val="none"/>
        </w:rPr>
        <w:t>对当年新认定的国家级、省级、市级科技企业孵化器，分别奖励50万元、</w:t>
      </w:r>
      <w:r>
        <w:rPr>
          <w:rFonts w:hint="eastAsia"/>
          <w:color w:val="auto"/>
          <w:highlight w:val="none"/>
          <w:lang w:val="en-US" w:eastAsia="zh-CN"/>
        </w:rPr>
        <w:t>2</w:t>
      </w:r>
      <w:r>
        <w:rPr>
          <w:rFonts w:hint="eastAsia"/>
          <w:color w:val="auto"/>
          <w:highlight w:val="none"/>
        </w:rPr>
        <w:t>0万元、5万元；对当年新认定的国家级、省级、市级科普示范基地、</w:t>
      </w:r>
      <w:r>
        <w:rPr>
          <w:rFonts w:hint="eastAsia"/>
          <w:color w:val="auto"/>
          <w:highlight w:val="none"/>
          <w:lang w:val="en-US" w:eastAsia="zh-CN"/>
        </w:rPr>
        <w:t>中试基地、众创空间、</w:t>
      </w:r>
      <w:r>
        <w:rPr>
          <w:rFonts w:hint="eastAsia"/>
          <w:color w:val="auto"/>
          <w:highlight w:val="none"/>
        </w:rPr>
        <w:t>星创天地，分别奖励10万元、5万元、2万元。</w:t>
      </w:r>
      <w:r>
        <w:rPr>
          <w:rFonts w:hint="eastAsia"/>
          <w:color w:val="auto"/>
          <w:highlight w:val="none"/>
          <w:lang w:val="en-US" w:eastAsia="zh-CN"/>
        </w:rPr>
        <w:t>到2027年，力争新增省级科技平台3个，市级科技平台5个。</w:t>
      </w:r>
    </w:p>
    <w:p w14:paraId="0DDB722E">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b w:val="0"/>
          <w:bCs w:val="0"/>
          <w:color w:val="auto"/>
          <w:highlight w:val="none"/>
          <w:lang w:val="en-US" w:eastAsia="zh-CN"/>
        </w:rPr>
      </w:pPr>
      <w:r>
        <w:rPr>
          <w:rFonts w:hint="eastAsia" w:cstheme="minorBidi"/>
          <w:b/>
          <w:bCs/>
          <w:color w:val="auto"/>
          <w:kern w:val="2"/>
          <w:sz w:val="32"/>
          <w:szCs w:val="22"/>
          <w:highlight w:val="none"/>
          <w:lang w:val="en-US" w:eastAsia="zh-CN" w:bidi="ar-SA"/>
        </w:rPr>
        <w:t>17</w:t>
      </w:r>
      <w:r>
        <w:rPr>
          <w:rFonts w:hint="eastAsia" w:ascii="仿宋_GB2312" w:eastAsia="仿宋_GB2312" w:hAnsiTheme="minorHAnsi" w:cstheme="minorBidi"/>
          <w:b/>
          <w:bCs/>
          <w:color w:val="auto"/>
          <w:kern w:val="2"/>
          <w:sz w:val="32"/>
          <w:szCs w:val="22"/>
          <w:highlight w:val="none"/>
          <w:lang w:val="en-US" w:eastAsia="zh-CN" w:bidi="ar-SA"/>
        </w:rPr>
        <w:t>.</w:t>
      </w:r>
      <w:r>
        <w:rPr>
          <w:rFonts w:hint="eastAsia" w:cstheme="minorBidi"/>
          <w:b/>
          <w:bCs/>
          <w:color w:val="auto"/>
          <w:kern w:val="2"/>
          <w:sz w:val="32"/>
          <w:szCs w:val="22"/>
          <w:highlight w:val="none"/>
          <w:lang w:val="en-US" w:eastAsia="zh-CN" w:bidi="ar-SA"/>
        </w:rPr>
        <w:t>鼓励各主体</w:t>
      </w:r>
      <w:r>
        <w:rPr>
          <w:rFonts w:hint="eastAsia" w:ascii="仿宋_GB2312" w:eastAsia="仿宋_GB2312" w:hAnsiTheme="minorHAnsi" w:cstheme="minorBidi"/>
          <w:b/>
          <w:bCs/>
          <w:color w:val="auto"/>
          <w:kern w:val="2"/>
          <w:sz w:val="32"/>
          <w:szCs w:val="22"/>
          <w:highlight w:val="none"/>
          <w:lang w:val="en-US" w:eastAsia="zh-CN" w:bidi="ar-SA"/>
        </w:rPr>
        <w:t>组建技术转移机构。</w:t>
      </w:r>
      <w:r>
        <w:rPr>
          <w:rFonts w:hint="eastAsia"/>
          <w:b w:val="0"/>
          <w:bCs w:val="0"/>
          <w:color w:val="auto"/>
          <w:highlight w:val="none"/>
          <w:lang w:val="en-US" w:eastAsia="zh-CN"/>
        </w:rPr>
        <w:t>加速科技成果转化，推动创新链与产业链深度融合，鼓励各类主体在屈原管理区设立技术转移机构。支持国内外知名高校院所、企业、科技社团在屈原管理区组建、设立技术转移机构，对获批国家级、</w:t>
      </w:r>
      <w:bookmarkStart w:id="6" w:name="OLE_LINK8"/>
      <w:r>
        <w:rPr>
          <w:rFonts w:hint="eastAsia"/>
          <w:b w:val="0"/>
          <w:bCs w:val="0"/>
          <w:color w:val="auto"/>
          <w:highlight w:val="none"/>
          <w:lang w:val="en-US" w:eastAsia="zh-CN"/>
        </w:rPr>
        <w:t>省级技术转移示范机构</w:t>
      </w:r>
      <w:bookmarkEnd w:id="6"/>
      <w:r>
        <w:rPr>
          <w:rFonts w:hint="eastAsia"/>
          <w:b w:val="0"/>
          <w:bCs w:val="0"/>
          <w:color w:val="auto"/>
          <w:highlight w:val="none"/>
          <w:lang w:val="en-US" w:eastAsia="zh-CN"/>
        </w:rPr>
        <w:t>的主体，分别给予20万元、10万元奖励。</w:t>
      </w:r>
    </w:p>
    <w:p w14:paraId="6800D851">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highlight w:val="none"/>
          <w:lang w:val="en-US" w:eastAsia="zh-CN"/>
        </w:rPr>
      </w:pPr>
      <w:r>
        <w:rPr>
          <w:rFonts w:hint="eastAsia" w:ascii="黑体" w:hAnsi="黑体" w:eastAsia="黑体" w:cs="黑体"/>
          <w:b w:val="0"/>
          <w:bCs w:val="0"/>
          <w:color w:val="auto"/>
          <w:kern w:val="2"/>
          <w:sz w:val="32"/>
          <w:szCs w:val="22"/>
          <w:lang w:val="en-US" w:eastAsia="zh-CN" w:bidi="ar-SA"/>
        </w:rPr>
        <w:t>六、</w:t>
      </w:r>
      <w:r>
        <w:rPr>
          <w:rFonts w:hint="eastAsia" w:ascii="黑体" w:hAnsi="黑体" w:eastAsia="黑体" w:cs="黑体"/>
          <w:b w:val="0"/>
          <w:bCs w:val="0"/>
          <w:color w:val="auto"/>
          <w:highlight w:val="none"/>
          <w:lang w:val="en-US" w:eastAsia="zh-CN"/>
        </w:rPr>
        <w:t>引导人才科技创新</w:t>
      </w:r>
    </w:p>
    <w:p w14:paraId="20F87853">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10" w:lineRule="atLeast"/>
        <w:ind w:left="0" w:leftChars="0" w:right="0" w:rightChars="0" w:firstLine="640" w:firstLineChars="200"/>
        <w:jc w:val="both"/>
        <w:textAlignment w:val="auto"/>
        <w:rPr>
          <w:rFonts w:hint="eastAsia" w:ascii="仿宋_GB2312" w:eastAsia="仿宋_GB2312" w:hAnsiTheme="minorHAnsi" w:cstheme="minorBidi"/>
          <w:b w:val="0"/>
          <w:bCs w:val="0"/>
          <w:color w:val="auto"/>
          <w:kern w:val="2"/>
          <w:sz w:val="32"/>
          <w:szCs w:val="22"/>
          <w:highlight w:val="none"/>
          <w:lang w:val="en-US" w:eastAsia="zh-CN" w:bidi="ar-SA"/>
        </w:rPr>
      </w:pPr>
      <w:r>
        <w:rPr>
          <w:rFonts w:hint="eastAsia" w:ascii="仿宋_GB2312" w:eastAsia="仿宋_GB2312" w:hAnsiTheme="minorHAnsi" w:cstheme="minorBidi"/>
          <w:b/>
          <w:bCs/>
          <w:color w:val="auto"/>
          <w:kern w:val="2"/>
          <w:sz w:val="32"/>
          <w:szCs w:val="22"/>
          <w:highlight w:val="none"/>
          <w:lang w:val="en-US" w:eastAsia="zh-CN" w:bidi="ar-SA"/>
        </w:rPr>
        <w:t>18.</w:t>
      </w:r>
      <w:r>
        <w:rPr>
          <w:rFonts w:hint="eastAsia" w:ascii="仿宋_GB2312" w:eastAsia="仿宋_GB2312" w:hAnsiTheme="minorHAnsi" w:cstheme="minorBidi"/>
          <w:b/>
          <w:bCs/>
          <w:color w:val="auto"/>
          <w:kern w:val="2"/>
          <w:sz w:val="32"/>
          <w:szCs w:val="22"/>
          <w:highlight w:val="none"/>
          <w:lang w:val="en-US" w:eastAsia="zh" w:bidi="ar-SA"/>
        </w:rPr>
        <w:t>支持</w:t>
      </w:r>
      <w:r>
        <w:rPr>
          <w:rFonts w:hint="eastAsia" w:ascii="仿宋_GB2312" w:eastAsia="仿宋_GB2312" w:hAnsiTheme="minorHAnsi" w:cstheme="minorBidi"/>
          <w:b/>
          <w:bCs/>
          <w:color w:val="auto"/>
          <w:kern w:val="2"/>
          <w:sz w:val="32"/>
          <w:szCs w:val="22"/>
          <w:highlight w:val="none"/>
          <w:lang w:val="en-US" w:eastAsia="zh-CN" w:bidi="ar-SA"/>
        </w:rPr>
        <w:t>企业培育高层次人才团队。</w:t>
      </w:r>
      <w:r>
        <w:rPr>
          <w:rFonts w:hint="eastAsia" w:ascii="仿宋_GB2312" w:eastAsia="仿宋_GB2312" w:hAnsiTheme="minorHAnsi" w:cstheme="minorBidi"/>
          <w:b w:val="0"/>
          <w:bCs w:val="0"/>
          <w:color w:val="auto"/>
          <w:kern w:val="2"/>
          <w:sz w:val="32"/>
          <w:szCs w:val="22"/>
          <w:highlight w:val="none"/>
          <w:lang w:val="en-US" w:eastAsia="zh-CN" w:bidi="ar-SA"/>
        </w:rPr>
        <w:t>深入实施人才强区战略，激发人才活力，加快培育高水平创新团队。对当年引进并认定为外国专家的企业给予1万元/人的奖励。对当年获评国家级、省级科技创新人才团队荣誉的企业创新团队，分别给予20万元、10万元奖励。对当年湖南省“三尖”创新人才工程项目获评的“顶尖”人才、科技领军人才（简称“拔尖”人才）、科技创新类湖湘青年英才（简称“荷尖”人才），给予3万元奖励。</w:t>
      </w:r>
    </w:p>
    <w:p w14:paraId="413E89E6">
      <w:pPr>
        <w:spacing w:line="600" w:lineRule="exact"/>
        <w:ind w:firstLine="640" w:firstLineChars="200"/>
        <w:jc w:val="both"/>
        <w:rPr>
          <w:rFonts w:hint="default" w:ascii="黑体" w:hAnsi="黑体" w:eastAsia="黑体"/>
          <w:color w:val="auto"/>
          <w:lang w:val="en-US" w:eastAsia="zh-CN"/>
        </w:rPr>
      </w:pPr>
      <w:r>
        <w:rPr>
          <w:rFonts w:hint="eastAsia" w:ascii="黑体" w:hAnsi="黑体" w:eastAsia="黑体"/>
          <w:color w:val="auto"/>
          <w:lang w:val="en-US" w:eastAsia="zh-CN"/>
        </w:rPr>
        <w:t>七、支持对象和原则</w:t>
      </w:r>
    </w:p>
    <w:p w14:paraId="5F68F658">
      <w:pPr>
        <w:spacing w:line="600" w:lineRule="exact"/>
        <w:ind w:firstLine="640" w:firstLineChars="200"/>
        <w:jc w:val="both"/>
        <w:rPr>
          <w:rFonts w:hint="eastAsia"/>
          <w:color w:val="auto"/>
        </w:rPr>
      </w:pPr>
      <w:r>
        <w:rPr>
          <w:rFonts w:hint="eastAsia" w:eastAsia="仿宋_GB2312"/>
          <w:color w:val="auto"/>
          <w:lang w:eastAsia="zh-CN"/>
        </w:rPr>
        <w:t>（</w:t>
      </w:r>
      <w:r>
        <w:rPr>
          <w:rFonts w:hint="eastAsia" w:ascii="仿宋_GB2312" w:eastAsia="仿宋_GB2312"/>
          <w:color w:val="auto"/>
          <w:lang w:val="en-US" w:eastAsia="zh-CN"/>
        </w:rPr>
        <w:t>一</w:t>
      </w:r>
      <w:r>
        <w:rPr>
          <w:rFonts w:hint="eastAsia" w:eastAsia="仿宋_GB2312"/>
          <w:color w:val="auto"/>
          <w:lang w:eastAsia="zh-CN"/>
        </w:rPr>
        <w:t>）</w:t>
      </w:r>
      <w:r>
        <w:rPr>
          <w:rFonts w:hint="eastAsia"/>
          <w:color w:val="auto"/>
          <w:lang w:val="en-US" w:eastAsia="zh-CN"/>
        </w:rPr>
        <w:t>申报主体应为屈原管理区登记</w:t>
      </w:r>
      <w:r>
        <w:rPr>
          <w:rFonts w:hint="eastAsia"/>
          <w:color w:val="auto"/>
        </w:rPr>
        <w:t>注册</w:t>
      </w:r>
      <w:r>
        <w:rPr>
          <w:rFonts w:hint="eastAsia" w:ascii="仿宋_GB2312" w:eastAsia="仿宋_GB2312"/>
          <w:color w:val="auto"/>
          <w:lang w:val="en-US" w:eastAsia="zh-CN"/>
        </w:rPr>
        <w:t>、</w:t>
      </w:r>
      <w:r>
        <w:rPr>
          <w:rFonts w:hint="eastAsia"/>
          <w:color w:val="auto"/>
          <w:lang w:val="en-US" w:eastAsia="zh-CN"/>
        </w:rPr>
        <w:t>依法纳税、</w:t>
      </w:r>
      <w:r>
        <w:rPr>
          <w:rFonts w:hint="eastAsia" w:ascii="仿宋_GB2312" w:eastAsia="仿宋_GB2312"/>
          <w:color w:val="auto"/>
          <w:lang w:val="en-US" w:eastAsia="zh-CN"/>
        </w:rPr>
        <w:t>具备独立法人资格的高新技术企业、科技型中小企业及农业经营主体，从事的生产经营活动符合国家有关规定</w:t>
      </w:r>
      <w:r>
        <w:rPr>
          <w:rFonts w:hint="eastAsia"/>
          <w:color w:val="auto"/>
        </w:rPr>
        <w:t>。</w:t>
      </w:r>
    </w:p>
    <w:p w14:paraId="45E40E3A">
      <w:pPr>
        <w:spacing w:line="600" w:lineRule="exact"/>
        <w:ind w:firstLine="640" w:firstLineChars="200"/>
        <w:jc w:val="both"/>
        <w:rPr>
          <w:rFonts w:hint="eastAsia" w:eastAsia="仿宋_GB2312"/>
          <w:color w:val="auto"/>
          <w:lang w:eastAsia="zh-CN"/>
        </w:rPr>
      </w:pPr>
      <w:r>
        <w:rPr>
          <w:rFonts w:hint="eastAsia" w:eastAsia="仿宋_GB2312"/>
          <w:color w:val="auto"/>
          <w:lang w:eastAsia="zh"/>
        </w:rPr>
        <w:t>（</w:t>
      </w:r>
      <w:r>
        <w:rPr>
          <w:rFonts w:hint="eastAsia" w:ascii="仿宋_GB2312" w:eastAsia="仿宋_GB2312"/>
          <w:color w:val="auto"/>
          <w:lang w:val="en-US" w:eastAsia="zh-CN"/>
        </w:rPr>
        <w:t>二</w:t>
      </w:r>
      <w:r>
        <w:rPr>
          <w:rFonts w:hint="eastAsia" w:eastAsia="仿宋_GB2312"/>
          <w:color w:val="auto"/>
          <w:lang w:eastAsia="zh"/>
        </w:rPr>
        <w:t>）</w:t>
      </w:r>
      <w:r>
        <w:rPr>
          <w:rFonts w:hint="eastAsia"/>
          <w:color w:val="auto"/>
          <w:lang w:val="en-US" w:eastAsia="zh-CN"/>
        </w:rPr>
        <w:t>截止申报日</w:t>
      </w:r>
      <w:r>
        <w:rPr>
          <w:rFonts w:hint="eastAsia" w:ascii="仿宋_GB2312" w:eastAsia="仿宋_GB2312"/>
          <w:color w:val="auto"/>
          <w:lang w:val="en-US" w:eastAsia="zh-CN"/>
        </w:rPr>
        <w:t>近一年未发生</w:t>
      </w:r>
      <w:r>
        <w:rPr>
          <w:rFonts w:hint="eastAsia"/>
          <w:color w:val="auto"/>
        </w:rPr>
        <w:t>重大安全事故、</w:t>
      </w:r>
      <w:r>
        <w:rPr>
          <w:rFonts w:hint="eastAsia" w:ascii="仿宋_GB2312" w:eastAsia="仿宋_GB2312"/>
          <w:color w:val="auto"/>
          <w:lang w:val="en-US" w:eastAsia="zh-CN"/>
        </w:rPr>
        <w:t>重大质量事故和严重的</w:t>
      </w:r>
      <w:r>
        <w:rPr>
          <w:rFonts w:hint="eastAsia"/>
          <w:color w:val="auto"/>
        </w:rPr>
        <w:t>环境违法行为</w:t>
      </w:r>
      <w:r>
        <w:rPr>
          <w:rFonts w:hint="eastAsia" w:eastAsia="仿宋_GB2312"/>
          <w:color w:val="auto"/>
          <w:lang w:eastAsia="zh-CN"/>
        </w:rPr>
        <w:t>，</w:t>
      </w:r>
      <w:r>
        <w:rPr>
          <w:rFonts w:hint="eastAsia" w:ascii="仿宋_GB2312" w:eastAsia="仿宋_GB2312"/>
          <w:color w:val="auto"/>
          <w:lang w:val="en-US" w:eastAsia="zh-CN"/>
        </w:rPr>
        <w:t>无违法违规和企业信用等方面的不良记录</w:t>
      </w:r>
      <w:r>
        <w:rPr>
          <w:rFonts w:hint="eastAsia"/>
          <w:color w:val="auto"/>
          <w:lang w:val="en-US" w:eastAsia="zh-CN"/>
        </w:rPr>
        <w:t>（以相关行业管理部门实时意见为准）</w:t>
      </w:r>
      <w:r>
        <w:rPr>
          <w:rFonts w:hint="eastAsia" w:ascii="仿宋_GB2312" w:eastAsia="仿宋_GB2312"/>
          <w:color w:val="auto"/>
          <w:lang w:val="en-US" w:eastAsia="zh-CN"/>
        </w:rPr>
        <w:t>。</w:t>
      </w:r>
    </w:p>
    <w:p w14:paraId="601BBBFD">
      <w:pPr>
        <w:spacing w:line="600" w:lineRule="exact"/>
        <w:ind w:firstLine="640" w:firstLineChars="200"/>
        <w:jc w:val="both"/>
        <w:rPr>
          <w:rFonts w:hint="eastAsia"/>
          <w:color w:val="auto"/>
        </w:rPr>
      </w:pPr>
      <w:r>
        <w:rPr>
          <w:rFonts w:hint="eastAsia"/>
          <w:color w:val="auto"/>
        </w:rPr>
        <w:t>（</w:t>
      </w:r>
      <w:r>
        <w:rPr>
          <w:rFonts w:hint="eastAsia" w:ascii="仿宋_GB2312" w:eastAsia="仿宋_GB2312"/>
          <w:color w:val="auto"/>
          <w:lang w:val="en-US" w:eastAsia="zh-CN"/>
        </w:rPr>
        <w:t>三</w:t>
      </w:r>
      <w:r>
        <w:rPr>
          <w:rFonts w:hint="eastAsia"/>
          <w:color w:val="auto"/>
        </w:rPr>
        <w:t>）</w:t>
      </w:r>
      <w:r>
        <w:rPr>
          <w:rFonts w:hint="eastAsia" w:ascii="仿宋_GB2312" w:eastAsia="仿宋_GB2312"/>
          <w:color w:val="auto"/>
          <w:lang w:val="en-US" w:eastAsia="zh-CN"/>
        </w:rPr>
        <w:t>屈原管理</w:t>
      </w:r>
      <w:r>
        <w:rPr>
          <w:rFonts w:hint="eastAsia"/>
          <w:color w:val="auto"/>
        </w:rPr>
        <w:t>区财政局设立相关资金预算，</w:t>
      </w:r>
      <w:r>
        <w:rPr>
          <w:rFonts w:hint="eastAsia"/>
          <w:color w:val="auto"/>
          <w:lang w:val="en-US" w:eastAsia="zh-CN"/>
        </w:rPr>
        <w:t>奖励</w:t>
      </w:r>
      <w:r>
        <w:rPr>
          <w:rFonts w:hint="eastAsia"/>
          <w:color w:val="auto"/>
        </w:rPr>
        <w:t>兑现以当年度各条块的资金安排额度为限，若超额度则按</w:t>
      </w:r>
      <w:r>
        <w:rPr>
          <w:rFonts w:hint="eastAsia"/>
          <w:color w:val="auto"/>
          <w:lang w:val="en-US" w:eastAsia="zh-CN"/>
        </w:rPr>
        <w:t>申报顺序兑现</w:t>
      </w:r>
      <w:r>
        <w:rPr>
          <w:rFonts w:hint="eastAsia"/>
          <w:color w:val="auto"/>
        </w:rPr>
        <w:t>。本措施与我区现行</w:t>
      </w:r>
      <w:r>
        <w:rPr>
          <w:rFonts w:hint="eastAsia" w:ascii="仿宋_GB2312" w:eastAsia="仿宋_GB2312"/>
          <w:color w:val="auto"/>
          <w:lang w:val="en-US" w:eastAsia="zh-CN"/>
        </w:rPr>
        <w:t>相关</w:t>
      </w:r>
      <w:r>
        <w:rPr>
          <w:rFonts w:hint="eastAsia"/>
          <w:color w:val="auto"/>
        </w:rPr>
        <w:t>政策文件有重复的，按照“时间从新、标准从高、奖励</w:t>
      </w:r>
      <w:r>
        <w:rPr>
          <w:rFonts w:hint="eastAsia" w:ascii="仿宋_GB2312" w:eastAsia="仿宋_GB2312"/>
          <w:color w:val="auto"/>
          <w:lang w:val="en-US" w:eastAsia="zh-CN"/>
        </w:rPr>
        <w:t>补贴</w:t>
      </w:r>
      <w:r>
        <w:rPr>
          <w:rFonts w:hint="eastAsia"/>
          <w:color w:val="auto"/>
        </w:rPr>
        <w:t>不重复”的原则执行</w:t>
      </w:r>
      <w:r>
        <w:rPr>
          <w:rFonts w:hint="eastAsia"/>
          <w:color w:val="auto"/>
          <w:lang w:eastAsia="zh-CN"/>
        </w:rPr>
        <w:t>，本措施规定事项如与新出台政策（包括本级、上级）有冲突的，以新政策为准</w:t>
      </w:r>
      <w:r>
        <w:rPr>
          <w:rFonts w:hint="eastAsia"/>
          <w:color w:val="auto"/>
        </w:rPr>
        <w:t>。</w:t>
      </w:r>
    </w:p>
    <w:p w14:paraId="415595C6">
      <w:pPr>
        <w:spacing w:line="600" w:lineRule="exact"/>
        <w:ind w:firstLine="640" w:firstLineChars="200"/>
        <w:jc w:val="both"/>
        <w:rPr>
          <w:rFonts w:hint="eastAsia"/>
          <w:color w:val="auto"/>
        </w:rPr>
      </w:pPr>
      <w:r>
        <w:rPr>
          <w:rFonts w:hint="eastAsia" w:eastAsia="仿宋_GB2312"/>
          <w:color w:val="auto"/>
          <w:lang w:eastAsia="zh"/>
        </w:rPr>
        <w:t>（</w:t>
      </w:r>
      <w:r>
        <w:rPr>
          <w:rFonts w:hint="eastAsia" w:ascii="仿宋_GB2312" w:eastAsia="仿宋_GB2312"/>
          <w:color w:val="auto"/>
          <w:lang w:val="en-US" w:eastAsia="zh-CN"/>
        </w:rPr>
        <w:t>四</w:t>
      </w:r>
      <w:r>
        <w:rPr>
          <w:rFonts w:hint="eastAsia" w:eastAsia="仿宋_GB2312"/>
          <w:color w:val="auto"/>
          <w:lang w:eastAsia="zh"/>
        </w:rPr>
        <w:t>）</w:t>
      </w:r>
      <w:r>
        <w:rPr>
          <w:rFonts w:hint="eastAsia" w:ascii="仿宋_GB2312" w:eastAsia="仿宋_GB2312"/>
          <w:color w:val="auto"/>
          <w:lang w:val="en-US" w:eastAsia="zh-CN"/>
        </w:rPr>
        <w:t>本措施</w:t>
      </w:r>
      <w:r>
        <w:rPr>
          <w:rFonts w:hint="eastAsia"/>
          <w:color w:val="auto"/>
        </w:rPr>
        <w:t>由</w:t>
      </w:r>
      <w:r>
        <w:rPr>
          <w:rFonts w:hint="eastAsia" w:ascii="仿宋_GB2312" w:eastAsia="仿宋_GB2312"/>
          <w:color w:val="auto"/>
          <w:lang w:val="en-US" w:eastAsia="zh-CN"/>
        </w:rPr>
        <w:t>屈原管理区科技和工业信息化局会同相关部门负责解释。符合本措施奖励规定条件的对象，须在规定时间内向屈原管理区科技和工业信息化局申报，屈原管理区科技和工业信息化局会同相关部门予以核实，报屈原管理区管理委员会审定后予以奖励</w:t>
      </w:r>
      <w:r>
        <w:rPr>
          <w:rFonts w:hint="eastAsia"/>
          <w:color w:val="auto"/>
          <w:lang w:val="en-US" w:eastAsia="zh-CN"/>
        </w:rPr>
        <w:t>或补助，申报主体应保证申请材料的完整性、真实性与合法性，对弄虚作假、偷税漏税等行为，将依法依规查处并收回奖励补助资金</w:t>
      </w:r>
      <w:r>
        <w:rPr>
          <w:rFonts w:hint="eastAsia" w:ascii="仿宋_GB2312" w:eastAsia="仿宋_GB2312"/>
          <w:color w:val="auto"/>
          <w:lang w:val="en-US" w:eastAsia="zh-CN"/>
        </w:rPr>
        <w:t>。</w:t>
      </w:r>
    </w:p>
    <w:p w14:paraId="5346F964">
      <w:pPr>
        <w:spacing w:line="600" w:lineRule="exact"/>
        <w:ind w:firstLine="640" w:firstLineChars="200"/>
        <w:jc w:val="both"/>
        <w:rPr>
          <w:rFonts w:hint="eastAsia" w:ascii="仿宋_GB2312" w:hAnsi="仿宋_GB2312" w:eastAsia="仿宋_GB2312" w:cs="仿宋_GB2312"/>
          <w:color w:val="auto"/>
          <w:highlight w:val="none"/>
          <w:lang w:val="en-US" w:eastAsia="zh-CN"/>
        </w:rPr>
      </w:pPr>
      <w:r>
        <w:rPr>
          <w:rFonts w:hint="eastAsia" w:ascii="仿宋_GB2312" w:eastAsia="仿宋_GB2312"/>
          <w:color w:val="auto"/>
          <w:lang w:val="en-US" w:eastAsia="zh-CN"/>
        </w:rPr>
        <w:t>本措施自印发之日起</w:t>
      </w:r>
      <w:r>
        <w:rPr>
          <w:rFonts w:hint="eastAsia"/>
          <w:color w:val="auto"/>
          <w:lang w:val="en-US" w:eastAsia="zh-CN"/>
        </w:rPr>
        <w:t>施行，有效期2027年12月31日</w:t>
      </w:r>
      <w:r>
        <w:rPr>
          <w:rFonts w:hint="eastAsia" w:ascii="仿宋_GB2312" w:eastAsia="仿宋_GB2312"/>
          <w:color w:val="auto"/>
          <w:lang w:val="en-US" w:eastAsia="zh-CN"/>
        </w:rPr>
        <w:t>。</w:t>
      </w:r>
    </w:p>
    <w:sectPr>
      <w:headerReference r:id="rId4" w:type="first"/>
      <w:footerReference r:id="rId6" w:type="first"/>
      <w:headerReference r:id="rId3" w:type="default"/>
      <w:footerReference r:id="rId5" w:type="default"/>
      <w:type w:val="continuous"/>
      <w:pgSz w:w="11906" w:h="16838"/>
      <w:pgMar w:top="2098" w:right="1474" w:bottom="1985" w:left="1588" w:header="851" w:footer="1418" w:gutter="0"/>
      <w:pgNumType w:fmt="decimal"/>
      <w:cols w:space="425" w:num="1"/>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BEA8C1-3185-455C-93B4-4069428CD6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824FF3CB-3314-4BE6-B837-D65FC398341E}"/>
  </w:font>
  <w:font w:name="方正小标宋简体">
    <w:panose1 w:val="02000000000000000000"/>
    <w:charset w:val="86"/>
    <w:family w:val="auto"/>
    <w:pitch w:val="default"/>
    <w:sig w:usb0="A00002BF" w:usb1="184F6CFA" w:usb2="00000012" w:usb3="00000000" w:csb0="00040001" w:csb1="00000000"/>
    <w:embedRegular r:id="rId3" w:fontKey="{8DC4C4B4-A4E4-41D0-9BD9-B1BFC69D2567}"/>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embedRegular r:id="rId4" w:fontKey="{824E459A-5681-4B6B-B77C-8371E753D489}"/>
  </w:font>
  <w:font w:name="等线">
    <w:panose1 w:val="02010600030101010101"/>
    <w:charset w:val="86"/>
    <w:family w:val="auto"/>
    <w:pitch w:val="default"/>
    <w:sig w:usb0="A00002BF" w:usb1="38CF7CFA" w:usb2="00000016" w:usb3="00000000" w:csb0="0004000F" w:csb1="00000000"/>
    <w:embedRegular r:id="rId5" w:fontKey="{BC997118-6B8B-40E9-9191-193CB4338CE2}"/>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AA3F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649B4C">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8649B4C">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C0692">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867D42">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C867D4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E64F9">
    <w:pPr>
      <w:pStyle w:val="6"/>
      <w:pBdr>
        <w:bottom w:val="none" w:color="auto" w:sz="0" w:space="1"/>
      </w:pBdr>
    </w:pPr>
    <w:r>
      <w:rPr>
        <w:sz w:val="18"/>
      </w:rPr>
      <w:pict>
        <v:shape id="PowerPlusWaterMarkObject18712" o:spid="_x0000_s2049" o:spt="136" type="#_x0000_t136" style="position:absolute;left:0pt;height:129.45pt;width:495.8pt;mso-position-horizontal:center;mso-position-horizontal-relative:margin;mso-position-vertical:center;mso-position-vertical-relative:margin;rotation:-2949120f;z-index:-251655168;mso-width-relative:page;mso-height-relative:page;" fillcolor="#C0C0C0" filled="t" stroked="f" coordsize="21600,21600" adj="10800">
          <v:path/>
          <v:fill on="t" opacity="15728f" focussize="0,0"/>
          <v:stroke on="f"/>
          <v:imagedata o:title=""/>
          <o:lock v:ext="edit" aspectratio="t"/>
          <v:textpath on="t" fitpath="t" trim="t" xscale="f" string="征求意见稿" style="font-family:微软雅黑;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F6E9F">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60"/>
  <w:drawingGridVerticalSpacing w:val="57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iODZkMjcyMTdkN2IzYzk1NDA3NGVmMjVlODNjZjUifQ=="/>
  </w:docVars>
  <w:rsids>
    <w:rsidRoot w:val="008312C7"/>
    <w:rsid w:val="00034BA3"/>
    <w:rsid w:val="000751C7"/>
    <w:rsid w:val="0011093E"/>
    <w:rsid w:val="0013294E"/>
    <w:rsid w:val="00166285"/>
    <w:rsid w:val="001864DB"/>
    <w:rsid w:val="001C7626"/>
    <w:rsid w:val="001E1494"/>
    <w:rsid w:val="00281511"/>
    <w:rsid w:val="002B5595"/>
    <w:rsid w:val="002F78B3"/>
    <w:rsid w:val="003205E7"/>
    <w:rsid w:val="00391B0F"/>
    <w:rsid w:val="00472988"/>
    <w:rsid w:val="00505D13"/>
    <w:rsid w:val="005148CA"/>
    <w:rsid w:val="00557D84"/>
    <w:rsid w:val="00594849"/>
    <w:rsid w:val="00595E8D"/>
    <w:rsid w:val="005D7AE8"/>
    <w:rsid w:val="00612345"/>
    <w:rsid w:val="0062519D"/>
    <w:rsid w:val="006B6D1F"/>
    <w:rsid w:val="007432B5"/>
    <w:rsid w:val="0074789F"/>
    <w:rsid w:val="007938B7"/>
    <w:rsid w:val="007C5DE4"/>
    <w:rsid w:val="008312C7"/>
    <w:rsid w:val="008426B0"/>
    <w:rsid w:val="00900B83"/>
    <w:rsid w:val="0090733A"/>
    <w:rsid w:val="009177DA"/>
    <w:rsid w:val="00936276"/>
    <w:rsid w:val="009519E9"/>
    <w:rsid w:val="009D6DC2"/>
    <w:rsid w:val="00A02650"/>
    <w:rsid w:val="00A26BDE"/>
    <w:rsid w:val="00A415B2"/>
    <w:rsid w:val="00AB35C0"/>
    <w:rsid w:val="00AC57A0"/>
    <w:rsid w:val="00B31856"/>
    <w:rsid w:val="00B42E51"/>
    <w:rsid w:val="00B91ED6"/>
    <w:rsid w:val="00B96A3D"/>
    <w:rsid w:val="00C11971"/>
    <w:rsid w:val="00C32680"/>
    <w:rsid w:val="00C3664C"/>
    <w:rsid w:val="00C625FB"/>
    <w:rsid w:val="00C6446C"/>
    <w:rsid w:val="00C71D81"/>
    <w:rsid w:val="00CB19F9"/>
    <w:rsid w:val="00CE44FF"/>
    <w:rsid w:val="00D10CE8"/>
    <w:rsid w:val="00DA414F"/>
    <w:rsid w:val="00DD72F6"/>
    <w:rsid w:val="00E01E35"/>
    <w:rsid w:val="00E678AB"/>
    <w:rsid w:val="00EB56F4"/>
    <w:rsid w:val="00ED3742"/>
    <w:rsid w:val="00EE0D54"/>
    <w:rsid w:val="00F254D3"/>
    <w:rsid w:val="00F37FC2"/>
    <w:rsid w:val="00F52A8D"/>
    <w:rsid w:val="00F9146B"/>
    <w:rsid w:val="01040B8A"/>
    <w:rsid w:val="011F53FE"/>
    <w:rsid w:val="0123584C"/>
    <w:rsid w:val="01276675"/>
    <w:rsid w:val="013813B3"/>
    <w:rsid w:val="01406C3D"/>
    <w:rsid w:val="014D0B1B"/>
    <w:rsid w:val="016A5229"/>
    <w:rsid w:val="017442FA"/>
    <w:rsid w:val="019E4ED3"/>
    <w:rsid w:val="01AA3070"/>
    <w:rsid w:val="01B45261"/>
    <w:rsid w:val="01B464A4"/>
    <w:rsid w:val="01C7267B"/>
    <w:rsid w:val="01D152A8"/>
    <w:rsid w:val="0224362A"/>
    <w:rsid w:val="025D6B7E"/>
    <w:rsid w:val="02B16063"/>
    <w:rsid w:val="02E64D83"/>
    <w:rsid w:val="02E97079"/>
    <w:rsid w:val="02F24DA1"/>
    <w:rsid w:val="031835F2"/>
    <w:rsid w:val="032B6C3A"/>
    <w:rsid w:val="03361716"/>
    <w:rsid w:val="03374253"/>
    <w:rsid w:val="0350044F"/>
    <w:rsid w:val="03656D5A"/>
    <w:rsid w:val="0371289F"/>
    <w:rsid w:val="03862179"/>
    <w:rsid w:val="03B27EBC"/>
    <w:rsid w:val="03D42E2E"/>
    <w:rsid w:val="03D64DF8"/>
    <w:rsid w:val="03E03CC9"/>
    <w:rsid w:val="03FF7BE1"/>
    <w:rsid w:val="04002483"/>
    <w:rsid w:val="041476CE"/>
    <w:rsid w:val="04161698"/>
    <w:rsid w:val="04173087"/>
    <w:rsid w:val="04293500"/>
    <w:rsid w:val="044C330C"/>
    <w:rsid w:val="0470147E"/>
    <w:rsid w:val="049806E1"/>
    <w:rsid w:val="04BA66AB"/>
    <w:rsid w:val="04CC503A"/>
    <w:rsid w:val="04DD0A99"/>
    <w:rsid w:val="052E66F6"/>
    <w:rsid w:val="053725CD"/>
    <w:rsid w:val="05410997"/>
    <w:rsid w:val="05706B86"/>
    <w:rsid w:val="05800EBE"/>
    <w:rsid w:val="058B34F6"/>
    <w:rsid w:val="05C173E2"/>
    <w:rsid w:val="05F257ED"/>
    <w:rsid w:val="05F97B24"/>
    <w:rsid w:val="05FB164E"/>
    <w:rsid w:val="065F7326"/>
    <w:rsid w:val="06A50AB1"/>
    <w:rsid w:val="06B31420"/>
    <w:rsid w:val="06C947A0"/>
    <w:rsid w:val="070103DE"/>
    <w:rsid w:val="072B77FC"/>
    <w:rsid w:val="073E1204"/>
    <w:rsid w:val="07585F66"/>
    <w:rsid w:val="07684CB9"/>
    <w:rsid w:val="07A74C37"/>
    <w:rsid w:val="07A771F5"/>
    <w:rsid w:val="07C37441"/>
    <w:rsid w:val="07E06245"/>
    <w:rsid w:val="08030185"/>
    <w:rsid w:val="081122ED"/>
    <w:rsid w:val="08236132"/>
    <w:rsid w:val="08337FE2"/>
    <w:rsid w:val="08347376"/>
    <w:rsid w:val="085E7258"/>
    <w:rsid w:val="08686C90"/>
    <w:rsid w:val="086E5525"/>
    <w:rsid w:val="08793FA4"/>
    <w:rsid w:val="087D3B8F"/>
    <w:rsid w:val="087E71A1"/>
    <w:rsid w:val="08AE0364"/>
    <w:rsid w:val="08B1373D"/>
    <w:rsid w:val="08B60D54"/>
    <w:rsid w:val="08CF1E16"/>
    <w:rsid w:val="08DD660E"/>
    <w:rsid w:val="090B10A0"/>
    <w:rsid w:val="0928094A"/>
    <w:rsid w:val="09523172"/>
    <w:rsid w:val="095C6620"/>
    <w:rsid w:val="09646D22"/>
    <w:rsid w:val="09757A52"/>
    <w:rsid w:val="09A426F2"/>
    <w:rsid w:val="09B259BF"/>
    <w:rsid w:val="09B33137"/>
    <w:rsid w:val="09CD27F9"/>
    <w:rsid w:val="09CF031F"/>
    <w:rsid w:val="09DC2A3C"/>
    <w:rsid w:val="09F317DB"/>
    <w:rsid w:val="0A140392"/>
    <w:rsid w:val="0A1D1E63"/>
    <w:rsid w:val="0A321E71"/>
    <w:rsid w:val="0A40746F"/>
    <w:rsid w:val="0A424F95"/>
    <w:rsid w:val="0A4763C4"/>
    <w:rsid w:val="0A622F41"/>
    <w:rsid w:val="0A9458FA"/>
    <w:rsid w:val="0AAF1EFF"/>
    <w:rsid w:val="0AC37758"/>
    <w:rsid w:val="0ACC6D0D"/>
    <w:rsid w:val="0B2E42E0"/>
    <w:rsid w:val="0B462863"/>
    <w:rsid w:val="0B582596"/>
    <w:rsid w:val="0B7A075E"/>
    <w:rsid w:val="0B9730BE"/>
    <w:rsid w:val="0BA91DAB"/>
    <w:rsid w:val="0BA92DF2"/>
    <w:rsid w:val="0BA947FA"/>
    <w:rsid w:val="0BB023D2"/>
    <w:rsid w:val="0BBE689D"/>
    <w:rsid w:val="0BC55E7E"/>
    <w:rsid w:val="0BCA5242"/>
    <w:rsid w:val="0BCE4F5A"/>
    <w:rsid w:val="0C0448DA"/>
    <w:rsid w:val="0C3426E4"/>
    <w:rsid w:val="0C356748"/>
    <w:rsid w:val="0C50798D"/>
    <w:rsid w:val="0C654152"/>
    <w:rsid w:val="0CA27F6D"/>
    <w:rsid w:val="0CD442C3"/>
    <w:rsid w:val="0CD914B5"/>
    <w:rsid w:val="0CF30129"/>
    <w:rsid w:val="0D117BC0"/>
    <w:rsid w:val="0D366994"/>
    <w:rsid w:val="0D464D9C"/>
    <w:rsid w:val="0D6671EC"/>
    <w:rsid w:val="0D676AC1"/>
    <w:rsid w:val="0D676F26"/>
    <w:rsid w:val="0D8C0AC9"/>
    <w:rsid w:val="0D91439A"/>
    <w:rsid w:val="0DB80774"/>
    <w:rsid w:val="0DC7286F"/>
    <w:rsid w:val="0DD71E98"/>
    <w:rsid w:val="0DDB2C32"/>
    <w:rsid w:val="0E034A3B"/>
    <w:rsid w:val="0E0D1416"/>
    <w:rsid w:val="0E1327A4"/>
    <w:rsid w:val="0E285ADF"/>
    <w:rsid w:val="0E8A22DC"/>
    <w:rsid w:val="0EAD2BF9"/>
    <w:rsid w:val="0F333741"/>
    <w:rsid w:val="0F470958"/>
    <w:rsid w:val="0F4D29C7"/>
    <w:rsid w:val="0F655282"/>
    <w:rsid w:val="0F6F7077"/>
    <w:rsid w:val="0FB71F81"/>
    <w:rsid w:val="0FC83488"/>
    <w:rsid w:val="0FDD4E87"/>
    <w:rsid w:val="10046849"/>
    <w:rsid w:val="1025513D"/>
    <w:rsid w:val="1074727F"/>
    <w:rsid w:val="10872B54"/>
    <w:rsid w:val="10BE733F"/>
    <w:rsid w:val="10C304B2"/>
    <w:rsid w:val="112846BD"/>
    <w:rsid w:val="112A6783"/>
    <w:rsid w:val="112E0021"/>
    <w:rsid w:val="113003BC"/>
    <w:rsid w:val="114C04A7"/>
    <w:rsid w:val="115B2DE0"/>
    <w:rsid w:val="1169091C"/>
    <w:rsid w:val="11731ED8"/>
    <w:rsid w:val="119F3152"/>
    <w:rsid w:val="11B147AE"/>
    <w:rsid w:val="11DA5AB3"/>
    <w:rsid w:val="1207781E"/>
    <w:rsid w:val="120B1D48"/>
    <w:rsid w:val="12192A7F"/>
    <w:rsid w:val="124C3511"/>
    <w:rsid w:val="125910CE"/>
    <w:rsid w:val="125A6BF4"/>
    <w:rsid w:val="127557DC"/>
    <w:rsid w:val="12BA67AF"/>
    <w:rsid w:val="12DE15D3"/>
    <w:rsid w:val="12DE5A77"/>
    <w:rsid w:val="12EC1E44"/>
    <w:rsid w:val="12F17558"/>
    <w:rsid w:val="12F35C1D"/>
    <w:rsid w:val="12F9465F"/>
    <w:rsid w:val="130848A2"/>
    <w:rsid w:val="132221A0"/>
    <w:rsid w:val="137141F5"/>
    <w:rsid w:val="137361BF"/>
    <w:rsid w:val="139B74C4"/>
    <w:rsid w:val="13A66595"/>
    <w:rsid w:val="13D604FC"/>
    <w:rsid w:val="13FA41EA"/>
    <w:rsid w:val="140A6892"/>
    <w:rsid w:val="14103A0E"/>
    <w:rsid w:val="14172FEE"/>
    <w:rsid w:val="141A488D"/>
    <w:rsid w:val="14282F9E"/>
    <w:rsid w:val="14357918"/>
    <w:rsid w:val="1437543F"/>
    <w:rsid w:val="147F5870"/>
    <w:rsid w:val="1490236B"/>
    <w:rsid w:val="15316332"/>
    <w:rsid w:val="1537321C"/>
    <w:rsid w:val="154C316C"/>
    <w:rsid w:val="15553150"/>
    <w:rsid w:val="155611C5"/>
    <w:rsid w:val="156A53A0"/>
    <w:rsid w:val="15AB5606"/>
    <w:rsid w:val="15B91E83"/>
    <w:rsid w:val="15C26F8A"/>
    <w:rsid w:val="15CE3B81"/>
    <w:rsid w:val="15EB2077"/>
    <w:rsid w:val="15F74496"/>
    <w:rsid w:val="16337E88"/>
    <w:rsid w:val="1638324F"/>
    <w:rsid w:val="164275D4"/>
    <w:rsid w:val="165F0C7D"/>
    <w:rsid w:val="16AE5760"/>
    <w:rsid w:val="16DE1BA1"/>
    <w:rsid w:val="16FE3FF2"/>
    <w:rsid w:val="170B670F"/>
    <w:rsid w:val="17163A31"/>
    <w:rsid w:val="174A36DB"/>
    <w:rsid w:val="17716EB9"/>
    <w:rsid w:val="178169D1"/>
    <w:rsid w:val="178D652D"/>
    <w:rsid w:val="178E5D88"/>
    <w:rsid w:val="1790403F"/>
    <w:rsid w:val="17984B23"/>
    <w:rsid w:val="17CC4D41"/>
    <w:rsid w:val="17EE2C2D"/>
    <w:rsid w:val="182621E4"/>
    <w:rsid w:val="18541328"/>
    <w:rsid w:val="185F3E34"/>
    <w:rsid w:val="188C061C"/>
    <w:rsid w:val="18AD2173"/>
    <w:rsid w:val="18DC1408"/>
    <w:rsid w:val="18E4640A"/>
    <w:rsid w:val="18EE0096"/>
    <w:rsid w:val="18F81368"/>
    <w:rsid w:val="18FC0A05"/>
    <w:rsid w:val="19102702"/>
    <w:rsid w:val="19134653"/>
    <w:rsid w:val="191C0707"/>
    <w:rsid w:val="193F4399"/>
    <w:rsid w:val="19436634"/>
    <w:rsid w:val="196A0064"/>
    <w:rsid w:val="196F7429"/>
    <w:rsid w:val="199221EE"/>
    <w:rsid w:val="199926F8"/>
    <w:rsid w:val="199F7548"/>
    <w:rsid w:val="19A5109C"/>
    <w:rsid w:val="19AD7F51"/>
    <w:rsid w:val="19E51499"/>
    <w:rsid w:val="19FB0CBC"/>
    <w:rsid w:val="1A113A55"/>
    <w:rsid w:val="1A1A1C17"/>
    <w:rsid w:val="1A1D0C33"/>
    <w:rsid w:val="1A2032A8"/>
    <w:rsid w:val="1A385A6D"/>
    <w:rsid w:val="1A3D3083"/>
    <w:rsid w:val="1A564145"/>
    <w:rsid w:val="1A6A586F"/>
    <w:rsid w:val="1A7016AA"/>
    <w:rsid w:val="1A7D0F62"/>
    <w:rsid w:val="1A8B5F7C"/>
    <w:rsid w:val="1AC92C2E"/>
    <w:rsid w:val="1AF95B35"/>
    <w:rsid w:val="1AFF658A"/>
    <w:rsid w:val="1B32070E"/>
    <w:rsid w:val="1B4548E5"/>
    <w:rsid w:val="1B55264E"/>
    <w:rsid w:val="1BA86C22"/>
    <w:rsid w:val="1BAE033B"/>
    <w:rsid w:val="1BF43C15"/>
    <w:rsid w:val="1C19367C"/>
    <w:rsid w:val="1C332406"/>
    <w:rsid w:val="1C5B3C94"/>
    <w:rsid w:val="1C662D65"/>
    <w:rsid w:val="1C817B9F"/>
    <w:rsid w:val="1C957AEB"/>
    <w:rsid w:val="1C9D7727"/>
    <w:rsid w:val="1CB83CAF"/>
    <w:rsid w:val="1CBD04AB"/>
    <w:rsid w:val="1CDA72AF"/>
    <w:rsid w:val="1CE27F12"/>
    <w:rsid w:val="1CEC3E75"/>
    <w:rsid w:val="1D2961E3"/>
    <w:rsid w:val="1D33076D"/>
    <w:rsid w:val="1D364BAA"/>
    <w:rsid w:val="1DC00253"/>
    <w:rsid w:val="1DD7576E"/>
    <w:rsid w:val="1DF83E91"/>
    <w:rsid w:val="1E032835"/>
    <w:rsid w:val="1E337EA8"/>
    <w:rsid w:val="1E4C19E5"/>
    <w:rsid w:val="1E780D78"/>
    <w:rsid w:val="1ECD6378"/>
    <w:rsid w:val="1EE6018D"/>
    <w:rsid w:val="1EED151B"/>
    <w:rsid w:val="1EED267A"/>
    <w:rsid w:val="1F02429F"/>
    <w:rsid w:val="1F110228"/>
    <w:rsid w:val="1F2A3112"/>
    <w:rsid w:val="1F5A0233"/>
    <w:rsid w:val="1F901EA7"/>
    <w:rsid w:val="1F996FAD"/>
    <w:rsid w:val="1F9D6372"/>
    <w:rsid w:val="1FC37965"/>
    <w:rsid w:val="1FDB75C6"/>
    <w:rsid w:val="1FE44638"/>
    <w:rsid w:val="20213D83"/>
    <w:rsid w:val="20401B1F"/>
    <w:rsid w:val="206015A5"/>
    <w:rsid w:val="206D1C7B"/>
    <w:rsid w:val="206F1C2C"/>
    <w:rsid w:val="207A57BD"/>
    <w:rsid w:val="20AF45AF"/>
    <w:rsid w:val="20CE712B"/>
    <w:rsid w:val="20D364EF"/>
    <w:rsid w:val="20F45DA3"/>
    <w:rsid w:val="20F46465"/>
    <w:rsid w:val="20FD356C"/>
    <w:rsid w:val="210668C5"/>
    <w:rsid w:val="210E6B41"/>
    <w:rsid w:val="21156B08"/>
    <w:rsid w:val="213F5933"/>
    <w:rsid w:val="214B2529"/>
    <w:rsid w:val="21730862"/>
    <w:rsid w:val="21821CC3"/>
    <w:rsid w:val="21875B03"/>
    <w:rsid w:val="219F63D1"/>
    <w:rsid w:val="21FE5119"/>
    <w:rsid w:val="21FE633C"/>
    <w:rsid w:val="220A1C12"/>
    <w:rsid w:val="22121B5E"/>
    <w:rsid w:val="2226253C"/>
    <w:rsid w:val="22284440"/>
    <w:rsid w:val="223A39E3"/>
    <w:rsid w:val="2241273D"/>
    <w:rsid w:val="226F0499"/>
    <w:rsid w:val="227E248B"/>
    <w:rsid w:val="228539F8"/>
    <w:rsid w:val="228C4BA7"/>
    <w:rsid w:val="22956A80"/>
    <w:rsid w:val="22AD4B1E"/>
    <w:rsid w:val="22D327D6"/>
    <w:rsid w:val="23052BAC"/>
    <w:rsid w:val="230A3A03"/>
    <w:rsid w:val="231B7273"/>
    <w:rsid w:val="233200D8"/>
    <w:rsid w:val="23501D9D"/>
    <w:rsid w:val="236E24FF"/>
    <w:rsid w:val="2382481A"/>
    <w:rsid w:val="2395727B"/>
    <w:rsid w:val="23C30A9D"/>
    <w:rsid w:val="23C40371"/>
    <w:rsid w:val="23C9432E"/>
    <w:rsid w:val="23D972EA"/>
    <w:rsid w:val="23F944BF"/>
    <w:rsid w:val="241A2687"/>
    <w:rsid w:val="2424697F"/>
    <w:rsid w:val="244F5B03"/>
    <w:rsid w:val="24575689"/>
    <w:rsid w:val="246456B0"/>
    <w:rsid w:val="246D34AE"/>
    <w:rsid w:val="24AB32DF"/>
    <w:rsid w:val="24B14D99"/>
    <w:rsid w:val="24B623B0"/>
    <w:rsid w:val="24CF51B7"/>
    <w:rsid w:val="24D0632A"/>
    <w:rsid w:val="24FB7DC2"/>
    <w:rsid w:val="25035EB8"/>
    <w:rsid w:val="253B0B07"/>
    <w:rsid w:val="256B67E4"/>
    <w:rsid w:val="25F969F8"/>
    <w:rsid w:val="26093948"/>
    <w:rsid w:val="2613032F"/>
    <w:rsid w:val="262B2929"/>
    <w:rsid w:val="265728A3"/>
    <w:rsid w:val="26A526DC"/>
    <w:rsid w:val="26B448EF"/>
    <w:rsid w:val="26D44D6F"/>
    <w:rsid w:val="26E50D2A"/>
    <w:rsid w:val="26FA3981"/>
    <w:rsid w:val="271D04C4"/>
    <w:rsid w:val="272924A0"/>
    <w:rsid w:val="27315D1D"/>
    <w:rsid w:val="273D46C2"/>
    <w:rsid w:val="275B0FEC"/>
    <w:rsid w:val="27606603"/>
    <w:rsid w:val="277D5407"/>
    <w:rsid w:val="277F07D8"/>
    <w:rsid w:val="277F4CDB"/>
    <w:rsid w:val="27870033"/>
    <w:rsid w:val="27934A90"/>
    <w:rsid w:val="27982240"/>
    <w:rsid w:val="279B3ADF"/>
    <w:rsid w:val="27FA25B3"/>
    <w:rsid w:val="28352DA4"/>
    <w:rsid w:val="283F53F6"/>
    <w:rsid w:val="284D302B"/>
    <w:rsid w:val="285919D0"/>
    <w:rsid w:val="285C326E"/>
    <w:rsid w:val="287405B8"/>
    <w:rsid w:val="28B07116"/>
    <w:rsid w:val="28C029A1"/>
    <w:rsid w:val="28F807F6"/>
    <w:rsid w:val="292804CE"/>
    <w:rsid w:val="293669D5"/>
    <w:rsid w:val="294066EC"/>
    <w:rsid w:val="29583A35"/>
    <w:rsid w:val="295E4DC4"/>
    <w:rsid w:val="297168A5"/>
    <w:rsid w:val="297C080E"/>
    <w:rsid w:val="29982084"/>
    <w:rsid w:val="29AE7EFD"/>
    <w:rsid w:val="29C966E1"/>
    <w:rsid w:val="29D11A3A"/>
    <w:rsid w:val="29DC2793"/>
    <w:rsid w:val="29EC23D0"/>
    <w:rsid w:val="2A1F7E34"/>
    <w:rsid w:val="2A202079"/>
    <w:rsid w:val="2A443FBA"/>
    <w:rsid w:val="2A6D1762"/>
    <w:rsid w:val="2A7F4FF2"/>
    <w:rsid w:val="2A8119A3"/>
    <w:rsid w:val="2AA131BA"/>
    <w:rsid w:val="2AB70BCE"/>
    <w:rsid w:val="2AB729DE"/>
    <w:rsid w:val="2ACD27C2"/>
    <w:rsid w:val="2AD96DF8"/>
    <w:rsid w:val="2AFF592A"/>
    <w:rsid w:val="2B084FE7"/>
    <w:rsid w:val="2B63260D"/>
    <w:rsid w:val="2B65068C"/>
    <w:rsid w:val="2BAE3DE1"/>
    <w:rsid w:val="2BB313F7"/>
    <w:rsid w:val="2BE8413E"/>
    <w:rsid w:val="2BFA7026"/>
    <w:rsid w:val="2C047EA4"/>
    <w:rsid w:val="2C0559CB"/>
    <w:rsid w:val="2C0F5FF4"/>
    <w:rsid w:val="2C917832"/>
    <w:rsid w:val="2CB40269"/>
    <w:rsid w:val="2CBD6984"/>
    <w:rsid w:val="2CD930DF"/>
    <w:rsid w:val="2CE428D4"/>
    <w:rsid w:val="2CEA52EC"/>
    <w:rsid w:val="2D0A3299"/>
    <w:rsid w:val="2D0C0EE3"/>
    <w:rsid w:val="2D281971"/>
    <w:rsid w:val="2D454541"/>
    <w:rsid w:val="2D477EDA"/>
    <w:rsid w:val="2DAC25A2"/>
    <w:rsid w:val="2DC518B5"/>
    <w:rsid w:val="2DD22FFD"/>
    <w:rsid w:val="2DD35D80"/>
    <w:rsid w:val="2E00563D"/>
    <w:rsid w:val="2E053A60"/>
    <w:rsid w:val="2E662CF4"/>
    <w:rsid w:val="2E6D7F83"/>
    <w:rsid w:val="2EA577DB"/>
    <w:rsid w:val="2EAC4558"/>
    <w:rsid w:val="2ECB4CA9"/>
    <w:rsid w:val="2EDE2C2F"/>
    <w:rsid w:val="2EE20741"/>
    <w:rsid w:val="2F0106CB"/>
    <w:rsid w:val="2F034CED"/>
    <w:rsid w:val="2F230642"/>
    <w:rsid w:val="2F5C53CF"/>
    <w:rsid w:val="2F656EAC"/>
    <w:rsid w:val="2F723377"/>
    <w:rsid w:val="2F8B61E7"/>
    <w:rsid w:val="2F8D01B1"/>
    <w:rsid w:val="2FC5794B"/>
    <w:rsid w:val="303B2DAE"/>
    <w:rsid w:val="304B7357"/>
    <w:rsid w:val="304E16EE"/>
    <w:rsid w:val="304F2F3D"/>
    <w:rsid w:val="30562C99"/>
    <w:rsid w:val="30671FFD"/>
    <w:rsid w:val="308E7BCC"/>
    <w:rsid w:val="309335A5"/>
    <w:rsid w:val="309F1F4A"/>
    <w:rsid w:val="30B05F05"/>
    <w:rsid w:val="30CC6015"/>
    <w:rsid w:val="30DC54D6"/>
    <w:rsid w:val="30F1701C"/>
    <w:rsid w:val="30FC606A"/>
    <w:rsid w:val="30FF2083"/>
    <w:rsid w:val="3106646D"/>
    <w:rsid w:val="311431CB"/>
    <w:rsid w:val="319677F1"/>
    <w:rsid w:val="31C12394"/>
    <w:rsid w:val="31C854D0"/>
    <w:rsid w:val="31CC3212"/>
    <w:rsid w:val="31F77B64"/>
    <w:rsid w:val="32132BEF"/>
    <w:rsid w:val="32392BA8"/>
    <w:rsid w:val="329F29D4"/>
    <w:rsid w:val="32C1089D"/>
    <w:rsid w:val="32C959A4"/>
    <w:rsid w:val="33364759"/>
    <w:rsid w:val="338813BB"/>
    <w:rsid w:val="342509B8"/>
    <w:rsid w:val="34592D57"/>
    <w:rsid w:val="34595B96"/>
    <w:rsid w:val="346B11E4"/>
    <w:rsid w:val="348E4750"/>
    <w:rsid w:val="34A83E98"/>
    <w:rsid w:val="34A96918"/>
    <w:rsid w:val="34E46AC5"/>
    <w:rsid w:val="35200172"/>
    <w:rsid w:val="3526746D"/>
    <w:rsid w:val="353A66E5"/>
    <w:rsid w:val="35507CB7"/>
    <w:rsid w:val="35775243"/>
    <w:rsid w:val="357E29F5"/>
    <w:rsid w:val="359C2EFC"/>
    <w:rsid w:val="35DE1766"/>
    <w:rsid w:val="36054D5D"/>
    <w:rsid w:val="360922D0"/>
    <w:rsid w:val="361A4A7B"/>
    <w:rsid w:val="362441C5"/>
    <w:rsid w:val="364F61C0"/>
    <w:rsid w:val="365E3F1B"/>
    <w:rsid w:val="366E334A"/>
    <w:rsid w:val="368F2A60"/>
    <w:rsid w:val="369422E9"/>
    <w:rsid w:val="36BA6C72"/>
    <w:rsid w:val="36E36908"/>
    <w:rsid w:val="371D26F1"/>
    <w:rsid w:val="37305FF2"/>
    <w:rsid w:val="373C1211"/>
    <w:rsid w:val="379A4FDA"/>
    <w:rsid w:val="37AD0256"/>
    <w:rsid w:val="37AD44D6"/>
    <w:rsid w:val="37B94756"/>
    <w:rsid w:val="37BF7375"/>
    <w:rsid w:val="37DA5F5D"/>
    <w:rsid w:val="3862667F"/>
    <w:rsid w:val="389E342F"/>
    <w:rsid w:val="38B23474"/>
    <w:rsid w:val="38B91C49"/>
    <w:rsid w:val="38C20A1E"/>
    <w:rsid w:val="38C33C8F"/>
    <w:rsid w:val="38EA21D0"/>
    <w:rsid w:val="38EA7DB7"/>
    <w:rsid w:val="38F80A41"/>
    <w:rsid w:val="39050DB8"/>
    <w:rsid w:val="39237490"/>
    <w:rsid w:val="3939528A"/>
    <w:rsid w:val="395767D6"/>
    <w:rsid w:val="39651B19"/>
    <w:rsid w:val="397336E3"/>
    <w:rsid w:val="39924D42"/>
    <w:rsid w:val="399D7242"/>
    <w:rsid w:val="39BA7DF4"/>
    <w:rsid w:val="39C42A21"/>
    <w:rsid w:val="39D2513E"/>
    <w:rsid w:val="39D92970"/>
    <w:rsid w:val="39E3734B"/>
    <w:rsid w:val="39F576F5"/>
    <w:rsid w:val="39F71049"/>
    <w:rsid w:val="3A601248"/>
    <w:rsid w:val="3A777A93"/>
    <w:rsid w:val="3A835D8D"/>
    <w:rsid w:val="3A9F7F4F"/>
    <w:rsid w:val="3AA0348E"/>
    <w:rsid w:val="3AA12D62"/>
    <w:rsid w:val="3AAD1707"/>
    <w:rsid w:val="3AB605BC"/>
    <w:rsid w:val="3AC0143A"/>
    <w:rsid w:val="3B8C756F"/>
    <w:rsid w:val="3B936B4F"/>
    <w:rsid w:val="3B9D0B1E"/>
    <w:rsid w:val="3BA90120"/>
    <w:rsid w:val="3BDF1786"/>
    <w:rsid w:val="3BF05F44"/>
    <w:rsid w:val="3C13478C"/>
    <w:rsid w:val="3C6D73A0"/>
    <w:rsid w:val="3C733627"/>
    <w:rsid w:val="3C793F97"/>
    <w:rsid w:val="3C860B92"/>
    <w:rsid w:val="3C9F32D2"/>
    <w:rsid w:val="3CB72D11"/>
    <w:rsid w:val="3CEB09D4"/>
    <w:rsid w:val="3CEE6FA8"/>
    <w:rsid w:val="3D027732"/>
    <w:rsid w:val="3D632551"/>
    <w:rsid w:val="3D90279B"/>
    <w:rsid w:val="3DFF04CC"/>
    <w:rsid w:val="3E1C72D0"/>
    <w:rsid w:val="3E3444BC"/>
    <w:rsid w:val="3E3F2FBE"/>
    <w:rsid w:val="3E837862"/>
    <w:rsid w:val="3E8504CC"/>
    <w:rsid w:val="3E8D1F7B"/>
    <w:rsid w:val="3E9E213C"/>
    <w:rsid w:val="3EA62BA0"/>
    <w:rsid w:val="3ED454B4"/>
    <w:rsid w:val="3EDC6A5F"/>
    <w:rsid w:val="3EE75890"/>
    <w:rsid w:val="3F281CA4"/>
    <w:rsid w:val="3F480A25"/>
    <w:rsid w:val="3F604F9A"/>
    <w:rsid w:val="3F84512C"/>
    <w:rsid w:val="3FA9844A"/>
    <w:rsid w:val="3FB13A48"/>
    <w:rsid w:val="3FC277D2"/>
    <w:rsid w:val="3FD81F96"/>
    <w:rsid w:val="3FE56D22"/>
    <w:rsid w:val="405732B3"/>
    <w:rsid w:val="40EF19C9"/>
    <w:rsid w:val="40EF2A79"/>
    <w:rsid w:val="41850CE8"/>
    <w:rsid w:val="41A970CC"/>
    <w:rsid w:val="42072045"/>
    <w:rsid w:val="421107CE"/>
    <w:rsid w:val="422624CB"/>
    <w:rsid w:val="422E137F"/>
    <w:rsid w:val="425D7A6A"/>
    <w:rsid w:val="427E2012"/>
    <w:rsid w:val="42823B6B"/>
    <w:rsid w:val="42B06238"/>
    <w:rsid w:val="42BA09B7"/>
    <w:rsid w:val="42ED6100"/>
    <w:rsid w:val="43171E14"/>
    <w:rsid w:val="433B1FA6"/>
    <w:rsid w:val="43474EE2"/>
    <w:rsid w:val="435C3CCA"/>
    <w:rsid w:val="43741014"/>
    <w:rsid w:val="439E17D7"/>
    <w:rsid w:val="43A833B4"/>
    <w:rsid w:val="43B54DA4"/>
    <w:rsid w:val="43E07DB9"/>
    <w:rsid w:val="43FA1C5C"/>
    <w:rsid w:val="4427252A"/>
    <w:rsid w:val="4436451B"/>
    <w:rsid w:val="444066D4"/>
    <w:rsid w:val="444F0682"/>
    <w:rsid w:val="44B518E4"/>
    <w:rsid w:val="44B82E53"/>
    <w:rsid w:val="44F369B3"/>
    <w:rsid w:val="4508235C"/>
    <w:rsid w:val="45135BFA"/>
    <w:rsid w:val="453018B3"/>
    <w:rsid w:val="45435142"/>
    <w:rsid w:val="454536D4"/>
    <w:rsid w:val="454B2644"/>
    <w:rsid w:val="457178AF"/>
    <w:rsid w:val="4575072F"/>
    <w:rsid w:val="45892231"/>
    <w:rsid w:val="45BC6ACB"/>
    <w:rsid w:val="45C06792"/>
    <w:rsid w:val="45CA5863"/>
    <w:rsid w:val="45E46CB7"/>
    <w:rsid w:val="46105889"/>
    <w:rsid w:val="461F5113"/>
    <w:rsid w:val="4627402F"/>
    <w:rsid w:val="46517D32"/>
    <w:rsid w:val="46641814"/>
    <w:rsid w:val="466B0DF4"/>
    <w:rsid w:val="46725812"/>
    <w:rsid w:val="46C202E8"/>
    <w:rsid w:val="46E14620"/>
    <w:rsid w:val="473259EC"/>
    <w:rsid w:val="4760647F"/>
    <w:rsid w:val="47F44E19"/>
    <w:rsid w:val="483B2A48"/>
    <w:rsid w:val="485338EE"/>
    <w:rsid w:val="48541414"/>
    <w:rsid w:val="48CC18F2"/>
    <w:rsid w:val="48DF0450"/>
    <w:rsid w:val="493027A8"/>
    <w:rsid w:val="494B6CBB"/>
    <w:rsid w:val="496B110B"/>
    <w:rsid w:val="4970227E"/>
    <w:rsid w:val="497962EB"/>
    <w:rsid w:val="49951CE4"/>
    <w:rsid w:val="49BA4655"/>
    <w:rsid w:val="49C34A70"/>
    <w:rsid w:val="49FB248F"/>
    <w:rsid w:val="49FE3D2D"/>
    <w:rsid w:val="4A0D3F70"/>
    <w:rsid w:val="4A4A4316"/>
    <w:rsid w:val="4A4F3C7C"/>
    <w:rsid w:val="4A506668"/>
    <w:rsid w:val="4A563B69"/>
    <w:rsid w:val="4A5E47CC"/>
    <w:rsid w:val="4A8C2D94"/>
    <w:rsid w:val="4A8C30E7"/>
    <w:rsid w:val="4AA30431"/>
    <w:rsid w:val="4AB558AE"/>
    <w:rsid w:val="4AB64608"/>
    <w:rsid w:val="4ACC3E2B"/>
    <w:rsid w:val="4AEE1DCF"/>
    <w:rsid w:val="4AF11D12"/>
    <w:rsid w:val="4B047121"/>
    <w:rsid w:val="4B3939F6"/>
    <w:rsid w:val="4B4C0AC8"/>
    <w:rsid w:val="4B5A210F"/>
    <w:rsid w:val="4B7A73E4"/>
    <w:rsid w:val="4B803689"/>
    <w:rsid w:val="4B8330B6"/>
    <w:rsid w:val="4B8D35BB"/>
    <w:rsid w:val="4B991F60"/>
    <w:rsid w:val="4B9C37FE"/>
    <w:rsid w:val="4BA426B2"/>
    <w:rsid w:val="4BA601D9"/>
    <w:rsid w:val="4BB91047"/>
    <w:rsid w:val="4BD53923"/>
    <w:rsid w:val="4C0A5C2D"/>
    <w:rsid w:val="4C107D48"/>
    <w:rsid w:val="4C275FDF"/>
    <w:rsid w:val="4C63431C"/>
    <w:rsid w:val="4C673E0C"/>
    <w:rsid w:val="4C96024D"/>
    <w:rsid w:val="4CA0731E"/>
    <w:rsid w:val="4CB076F0"/>
    <w:rsid w:val="4CCA5EB6"/>
    <w:rsid w:val="4CCF375F"/>
    <w:rsid w:val="4CE0596C"/>
    <w:rsid w:val="4D001311"/>
    <w:rsid w:val="4D0D37D7"/>
    <w:rsid w:val="4D0E24D9"/>
    <w:rsid w:val="4D227D33"/>
    <w:rsid w:val="4D4118DE"/>
    <w:rsid w:val="4D493511"/>
    <w:rsid w:val="4D5532E6"/>
    <w:rsid w:val="4DA01B65"/>
    <w:rsid w:val="4DA2428D"/>
    <w:rsid w:val="4DA81276"/>
    <w:rsid w:val="4E0D09E3"/>
    <w:rsid w:val="4EBE383F"/>
    <w:rsid w:val="4ED27E37"/>
    <w:rsid w:val="4F31425D"/>
    <w:rsid w:val="4F383A6C"/>
    <w:rsid w:val="4F5F701C"/>
    <w:rsid w:val="4F7E4E37"/>
    <w:rsid w:val="4F8629D6"/>
    <w:rsid w:val="4F9A44F8"/>
    <w:rsid w:val="4F9B094E"/>
    <w:rsid w:val="4FA40ED3"/>
    <w:rsid w:val="4FB00EB6"/>
    <w:rsid w:val="4FCD7DF8"/>
    <w:rsid w:val="4FCE41A2"/>
    <w:rsid w:val="4FF11EA2"/>
    <w:rsid w:val="50067C12"/>
    <w:rsid w:val="500F13EB"/>
    <w:rsid w:val="505A7C5E"/>
    <w:rsid w:val="509C604E"/>
    <w:rsid w:val="50A13664"/>
    <w:rsid w:val="50A55AE1"/>
    <w:rsid w:val="50A6249E"/>
    <w:rsid w:val="50D2312A"/>
    <w:rsid w:val="50DB7ECB"/>
    <w:rsid w:val="512C5624"/>
    <w:rsid w:val="512E1286"/>
    <w:rsid w:val="513A1AEF"/>
    <w:rsid w:val="51666A97"/>
    <w:rsid w:val="516923D4"/>
    <w:rsid w:val="518B2922"/>
    <w:rsid w:val="51A5637D"/>
    <w:rsid w:val="51D14E27"/>
    <w:rsid w:val="51E8273B"/>
    <w:rsid w:val="51F11B5B"/>
    <w:rsid w:val="51F872B4"/>
    <w:rsid w:val="51FA302C"/>
    <w:rsid w:val="52161EB4"/>
    <w:rsid w:val="52195BA8"/>
    <w:rsid w:val="52201236"/>
    <w:rsid w:val="52651D6D"/>
    <w:rsid w:val="52727066"/>
    <w:rsid w:val="528432A1"/>
    <w:rsid w:val="52DE0203"/>
    <w:rsid w:val="52F43D12"/>
    <w:rsid w:val="530318AE"/>
    <w:rsid w:val="5325057D"/>
    <w:rsid w:val="532A50F6"/>
    <w:rsid w:val="533F163E"/>
    <w:rsid w:val="53456529"/>
    <w:rsid w:val="535350EA"/>
    <w:rsid w:val="535D73BE"/>
    <w:rsid w:val="53715570"/>
    <w:rsid w:val="537E0605"/>
    <w:rsid w:val="53D004E8"/>
    <w:rsid w:val="53DC50DF"/>
    <w:rsid w:val="54080E95"/>
    <w:rsid w:val="540D5787"/>
    <w:rsid w:val="541C372E"/>
    <w:rsid w:val="544D575F"/>
    <w:rsid w:val="5452278D"/>
    <w:rsid w:val="54921C42"/>
    <w:rsid w:val="54B95421"/>
    <w:rsid w:val="54ED50CA"/>
    <w:rsid w:val="54ED6E78"/>
    <w:rsid w:val="54F541D6"/>
    <w:rsid w:val="551D0DD8"/>
    <w:rsid w:val="55236D3E"/>
    <w:rsid w:val="55366A71"/>
    <w:rsid w:val="55621614"/>
    <w:rsid w:val="5572737D"/>
    <w:rsid w:val="55963418"/>
    <w:rsid w:val="55A35789"/>
    <w:rsid w:val="55A559A5"/>
    <w:rsid w:val="55D911AB"/>
    <w:rsid w:val="55F44A25"/>
    <w:rsid w:val="5628326B"/>
    <w:rsid w:val="5635328F"/>
    <w:rsid w:val="564362A7"/>
    <w:rsid w:val="564E3AB1"/>
    <w:rsid w:val="567233E3"/>
    <w:rsid w:val="56941CA1"/>
    <w:rsid w:val="56BC0590"/>
    <w:rsid w:val="56CF6508"/>
    <w:rsid w:val="56D976B4"/>
    <w:rsid w:val="56E4414C"/>
    <w:rsid w:val="56EA4C31"/>
    <w:rsid w:val="570A036C"/>
    <w:rsid w:val="570B7764"/>
    <w:rsid w:val="572A46D5"/>
    <w:rsid w:val="574517F6"/>
    <w:rsid w:val="5756456E"/>
    <w:rsid w:val="57D91936"/>
    <w:rsid w:val="57E9601D"/>
    <w:rsid w:val="57F61C74"/>
    <w:rsid w:val="5814296E"/>
    <w:rsid w:val="58294B17"/>
    <w:rsid w:val="58445001"/>
    <w:rsid w:val="58490869"/>
    <w:rsid w:val="58825B29"/>
    <w:rsid w:val="58A7362D"/>
    <w:rsid w:val="59011144"/>
    <w:rsid w:val="59050C34"/>
    <w:rsid w:val="59611F42"/>
    <w:rsid w:val="596650FF"/>
    <w:rsid w:val="598759B7"/>
    <w:rsid w:val="59A321FB"/>
    <w:rsid w:val="59AA358A"/>
    <w:rsid w:val="59C97EB4"/>
    <w:rsid w:val="59E7033A"/>
    <w:rsid w:val="59E85E60"/>
    <w:rsid w:val="59FF38D6"/>
    <w:rsid w:val="5A020223"/>
    <w:rsid w:val="5A07278A"/>
    <w:rsid w:val="5A1621EF"/>
    <w:rsid w:val="5A3966BC"/>
    <w:rsid w:val="5A3D43FE"/>
    <w:rsid w:val="5A633BC2"/>
    <w:rsid w:val="5A6574B1"/>
    <w:rsid w:val="5A672BCD"/>
    <w:rsid w:val="5A7140A7"/>
    <w:rsid w:val="5A8E4C59"/>
    <w:rsid w:val="5A957D96"/>
    <w:rsid w:val="5A987886"/>
    <w:rsid w:val="5AAB1367"/>
    <w:rsid w:val="5AC35701"/>
    <w:rsid w:val="5AC671C0"/>
    <w:rsid w:val="5ACE14FA"/>
    <w:rsid w:val="5AF6C4E6"/>
    <w:rsid w:val="5B046CCA"/>
    <w:rsid w:val="5B136F0D"/>
    <w:rsid w:val="5B172EA1"/>
    <w:rsid w:val="5B303F63"/>
    <w:rsid w:val="5BA02E96"/>
    <w:rsid w:val="5BB766A9"/>
    <w:rsid w:val="5BBD4B0E"/>
    <w:rsid w:val="5BC546AB"/>
    <w:rsid w:val="5BF31218"/>
    <w:rsid w:val="5C1F0640"/>
    <w:rsid w:val="5C290B3A"/>
    <w:rsid w:val="5C321615"/>
    <w:rsid w:val="5C8565F6"/>
    <w:rsid w:val="5CBA7F88"/>
    <w:rsid w:val="5CBE7786"/>
    <w:rsid w:val="5CC850F3"/>
    <w:rsid w:val="5D2E44D2"/>
    <w:rsid w:val="5D647EF4"/>
    <w:rsid w:val="5D6B2B94"/>
    <w:rsid w:val="5D7243BE"/>
    <w:rsid w:val="5D8B36D2"/>
    <w:rsid w:val="5D9F0F2C"/>
    <w:rsid w:val="5DA53DAB"/>
    <w:rsid w:val="5DC10EA2"/>
    <w:rsid w:val="5DF44B66"/>
    <w:rsid w:val="5DFC1EDA"/>
    <w:rsid w:val="5DFE20F6"/>
    <w:rsid w:val="5E167440"/>
    <w:rsid w:val="5E2356B9"/>
    <w:rsid w:val="5E517AE8"/>
    <w:rsid w:val="5E761C8C"/>
    <w:rsid w:val="5EAC3900"/>
    <w:rsid w:val="5F04083C"/>
    <w:rsid w:val="5F1B6002"/>
    <w:rsid w:val="5F34022D"/>
    <w:rsid w:val="5F3867FF"/>
    <w:rsid w:val="5F3B6B00"/>
    <w:rsid w:val="5F610B8F"/>
    <w:rsid w:val="5F7E34EF"/>
    <w:rsid w:val="5F972FDE"/>
    <w:rsid w:val="5FB031CA"/>
    <w:rsid w:val="5FBBFB1B"/>
    <w:rsid w:val="5FBF44C9"/>
    <w:rsid w:val="5FDA449D"/>
    <w:rsid w:val="5FEE38ED"/>
    <w:rsid w:val="5FFB0EF8"/>
    <w:rsid w:val="604364E6"/>
    <w:rsid w:val="604C1847"/>
    <w:rsid w:val="60545FFD"/>
    <w:rsid w:val="60593614"/>
    <w:rsid w:val="608368E3"/>
    <w:rsid w:val="60D13AF2"/>
    <w:rsid w:val="60DD5FF3"/>
    <w:rsid w:val="61077514"/>
    <w:rsid w:val="6110461A"/>
    <w:rsid w:val="611D7338"/>
    <w:rsid w:val="613320B7"/>
    <w:rsid w:val="614B37FC"/>
    <w:rsid w:val="61504A17"/>
    <w:rsid w:val="615747CA"/>
    <w:rsid w:val="617050B9"/>
    <w:rsid w:val="61B256D1"/>
    <w:rsid w:val="61B551C2"/>
    <w:rsid w:val="61EE5FDE"/>
    <w:rsid w:val="62040ACF"/>
    <w:rsid w:val="620465C6"/>
    <w:rsid w:val="620F424F"/>
    <w:rsid w:val="622163B3"/>
    <w:rsid w:val="623847DB"/>
    <w:rsid w:val="62620EA5"/>
    <w:rsid w:val="62702448"/>
    <w:rsid w:val="62723DFB"/>
    <w:rsid w:val="628A3529"/>
    <w:rsid w:val="62982E50"/>
    <w:rsid w:val="62C31218"/>
    <w:rsid w:val="62D90A3C"/>
    <w:rsid w:val="62E0626E"/>
    <w:rsid w:val="62E21FE6"/>
    <w:rsid w:val="62EC5DE5"/>
    <w:rsid w:val="6358307E"/>
    <w:rsid w:val="635F3637"/>
    <w:rsid w:val="63627A46"/>
    <w:rsid w:val="638D7235"/>
    <w:rsid w:val="63957059"/>
    <w:rsid w:val="63962B22"/>
    <w:rsid w:val="63D842BA"/>
    <w:rsid w:val="646D58E0"/>
    <w:rsid w:val="647924D6"/>
    <w:rsid w:val="6480793C"/>
    <w:rsid w:val="649F203A"/>
    <w:rsid w:val="64A55079"/>
    <w:rsid w:val="64E33DF4"/>
    <w:rsid w:val="64FB2EEB"/>
    <w:rsid w:val="656C5B97"/>
    <w:rsid w:val="659602FC"/>
    <w:rsid w:val="65BF216B"/>
    <w:rsid w:val="65C72A7B"/>
    <w:rsid w:val="65DA0D53"/>
    <w:rsid w:val="6650370B"/>
    <w:rsid w:val="66636F9A"/>
    <w:rsid w:val="66664CDC"/>
    <w:rsid w:val="666757F8"/>
    <w:rsid w:val="66827145"/>
    <w:rsid w:val="66B21CD0"/>
    <w:rsid w:val="66D16D17"/>
    <w:rsid w:val="66E61FD6"/>
    <w:rsid w:val="66F20F09"/>
    <w:rsid w:val="66FE3167"/>
    <w:rsid w:val="67002056"/>
    <w:rsid w:val="6704083A"/>
    <w:rsid w:val="67757DC2"/>
    <w:rsid w:val="677B47B7"/>
    <w:rsid w:val="67A5303A"/>
    <w:rsid w:val="67B524DA"/>
    <w:rsid w:val="67B850C4"/>
    <w:rsid w:val="67CC756B"/>
    <w:rsid w:val="680245A8"/>
    <w:rsid w:val="682169AA"/>
    <w:rsid w:val="683871A6"/>
    <w:rsid w:val="684A3ECE"/>
    <w:rsid w:val="68637725"/>
    <w:rsid w:val="689B5C8E"/>
    <w:rsid w:val="68B24B28"/>
    <w:rsid w:val="68BA4E6C"/>
    <w:rsid w:val="68CB7079"/>
    <w:rsid w:val="68EA39A3"/>
    <w:rsid w:val="68F14D31"/>
    <w:rsid w:val="68FC5484"/>
    <w:rsid w:val="69024F48"/>
    <w:rsid w:val="69272501"/>
    <w:rsid w:val="69282E42"/>
    <w:rsid w:val="6953779A"/>
    <w:rsid w:val="69A753F0"/>
    <w:rsid w:val="69AE49D0"/>
    <w:rsid w:val="69B048EF"/>
    <w:rsid w:val="69E21E77"/>
    <w:rsid w:val="6A1A6A29"/>
    <w:rsid w:val="6A1F767C"/>
    <w:rsid w:val="6A2C3362"/>
    <w:rsid w:val="6A440E91"/>
    <w:rsid w:val="6A462E5B"/>
    <w:rsid w:val="6A5B1E11"/>
    <w:rsid w:val="6A5C6602"/>
    <w:rsid w:val="6A7363D3"/>
    <w:rsid w:val="6AA57F9A"/>
    <w:rsid w:val="6AE34B4E"/>
    <w:rsid w:val="6B147C44"/>
    <w:rsid w:val="6B2365FB"/>
    <w:rsid w:val="6B2E414A"/>
    <w:rsid w:val="6B4C44A1"/>
    <w:rsid w:val="6B5B2FB6"/>
    <w:rsid w:val="6B6B0E83"/>
    <w:rsid w:val="6B807797"/>
    <w:rsid w:val="6B826114"/>
    <w:rsid w:val="6B8C0D41"/>
    <w:rsid w:val="6BAC75D4"/>
    <w:rsid w:val="6BCF223D"/>
    <w:rsid w:val="6BD46244"/>
    <w:rsid w:val="6BD526E8"/>
    <w:rsid w:val="6BE25911"/>
    <w:rsid w:val="6C20148A"/>
    <w:rsid w:val="6C3E27AC"/>
    <w:rsid w:val="6C3F1329"/>
    <w:rsid w:val="6C4C227F"/>
    <w:rsid w:val="6C67789F"/>
    <w:rsid w:val="6C77622A"/>
    <w:rsid w:val="6C876151"/>
    <w:rsid w:val="6CA81BAB"/>
    <w:rsid w:val="6CC67E4F"/>
    <w:rsid w:val="6CEB7CE9"/>
    <w:rsid w:val="6CF748E0"/>
    <w:rsid w:val="6D1A71DD"/>
    <w:rsid w:val="6D344457"/>
    <w:rsid w:val="6D3C23F0"/>
    <w:rsid w:val="6D47767E"/>
    <w:rsid w:val="6D5A33FF"/>
    <w:rsid w:val="6D635AD2"/>
    <w:rsid w:val="6D6D4BA2"/>
    <w:rsid w:val="6D8C0EFE"/>
    <w:rsid w:val="6D96099F"/>
    <w:rsid w:val="6DAF6F69"/>
    <w:rsid w:val="6DC02F24"/>
    <w:rsid w:val="6E1D7FF6"/>
    <w:rsid w:val="6E201C15"/>
    <w:rsid w:val="6E386F5E"/>
    <w:rsid w:val="6E634E8F"/>
    <w:rsid w:val="6E91666F"/>
    <w:rsid w:val="6EBA5BC5"/>
    <w:rsid w:val="6EBF4F8A"/>
    <w:rsid w:val="6EBF602C"/>
    <w:rsid w:val="6ED053E9"/>
    <w:rsid w:val="6EE673DC"/>
    <w:rsid w:val="6F280D81"/>
    <w:rsid w:val="6F2D3327"/>
    <w:rsid w:val="6F3239AE"/>
    <w:rsid w:val="6F5074CE"/>
    <w:rsid w:val="6F5FC183"/>
    <w:rsid w:val="6F7B35A7"/>
    <w:rsid w:val="6F80221D"/>
    <w:rsid w:val="6F80296B"/>
    <w:rsid w:val="6F8A5598"/>
    <w:rsid w:val="6FAD572A"/>
    <w:rsid w:val="6FD20CED"/>
    <w:rsid w:val="700F3D2C"/>
    <w:rsid w:val="70111815"/>
    <w:rsid w:val="702E23C7"/>
    <w:rsid w:val="7057025A"/>
    <w:rsid w:val="70585696"/>
    <w:rsid w:val="70875F7B"/>
    <w:rsid w:val="708F6BDE"/>
    <w:rsid w:val="7091132F"/>
    <w:rsid w:val="709D579F"/>
    <w:rsid w:val="70BB79D3"/>
    <w:rsid w:val="70C8281B"/>
    <w:rsid w:val="70D5110A"/>
    <w:rsid w:val="70D867D7"/>
    <w:rsid w:val="712C1262"/>
    <w:rsid w:val="712E4649"/>
    <w:rsid w:val="716B31A7"/>
    <w:rsid w:val="71956476"/>
    <w:rsid w:val="71A14E1B"/>
    <w:rsid w:val="71D945B4"/>
    <w:rsid w:val="71DE1BCB"/>
    <w:rsid w:val="721C5F40"/>
    <w:rsid w:val="724F2AC9"/>
    <w:rsid w:val="72BC34AF"/>
    <w:rsid w:val="72C21B3D"/>
    <w:rsid w:val="72D07765"/>
    <w:rsid w:val="72E15E16"/>
    <w:rsid w:val="72F83160"/>
    <w:rsid w:val="73041B05"/>
    <w:rsid w:val="731A1328"/>
    <w:rsid w:val="7338355D"/>
    <w:rsid w:val="733C0072"/>
    <w:rsid w:val="73722F12"/>
    <w:rsid w:val="73AB3D2F"/>
    <w:rsid w:val="73C117A4"/>
    <w:rsid w:val="73C13552"/>
    <w:rsid w:val="73DB40A7"/>
    <w:rsid w:val="73F462CA"/>
    <w:rsid w:val="741C1198"/>
    <w:rsid w:val="742064CB"/>
    <w:rsid w:val="74213FF1"/>
    <w:rsid w:val="7431692A"/>
    <w:rsid w:val="746F7452"/>
    <w:rsid w:val="74BF239A"/>
    <w:rsid w:val="74CE2601"/>
    <w:rsid w:val="74D70717"/>
    <w:rsid w:val="75175B20"/>
    <w:rsid w:val="75903794"/>
    <w:rsid w:val="7593476F"/>
    <w:rsid w:val="759A04FF"/>
    <w:rsid w:val="75B3511C"/>
    <w:rsid w:val="75D73501"/>
    <w:rsid w:val="75EF084A"/>
    <w:rsid w:val="75FC4D15"/>
    <w:rsid w:val="760E61F5"/>
    <w:rsid w:val="76150B26"/>
    <w:rsid w:val="7617229C"/>
    <w:rsid w:val="763224E5"/>
    <w:rsid w:val="763F38A7"/>
    <w:rsid w:val="764710CA"/>
    <w:rsid w:val="76756F9F"/>
    <w:rsid w:val="76D8308D"/>
    <w:rsid w:val="76DFBBC1"/>
    <w:rsid w:val="76EA2DC0"/>
    <w:rsid w:val="77073972"/>
    <w:rsid w:val="77163666"/>
    <w:rsid w:val="7723399A"/>
    <w:rsid w:val="77453A38"/>
    <w:rsid w:val="77663AF4"/>
    <w:rsid w:val="776668EA"/>
    <w:rsid w:val="777F2B7E"/>
    <w:rsid w:val="778356EE"/>
    <w:rsid w:val="77972F48"/>
    <w:rsid w:val="77AF16D1"/>
    <w:rsid w:val="77BF424C"/>
    <w:rsid w:val="77C74F70"/>
    <w:rsid w:val="77D0645A"/>
    <w:rsid w:val="77E15F81"/>
    <w:rsid w:val="77E73601"/>
    <w:rsid w:val="77E872FF"/>
    <w:rsid w:val="77F012B0"/>
    <w:rsid w:val="780A3F75"/>
    <w:rsid w:val="781E0F73"/>
    <w:rsid w:val="783E7867"/>
    <w:rsid w:val="7840538D"/>
    <w:rsid w:val="78485FF0"/>
    <w:rsid w:val="785901FD"/>
    <w:rsid w:val="789B6A68"/>
    <w:rsid w:val="78BE4504"/>
    <w:rsid w:val="794C38BE"/>
    <w:rsid w:val="79674B9C"/>
    <w:rsid w:val="79795DED"/>
    <w:rsid w:val="798B2638"/>
    <w:rsid w:val="79C8172F"/>
    <w:rsid w:val="79D52F39"/>
    <w:rsid w:val="79E104AA"/>
    <w:rsid w:val="79F30242"/>
    <w:rsid w:val="7A325A2F"/>
    <w:rsid w:val="7A460BE1"/>
    <w:rsid w:val="7A7255A6"/>
    <w:rsid w:val="7AD903D7"/>
    <w:rsid w:val="7B4909FD"/>
    <w:rsid w:val="7B5C51BA"/>
    <w:rsid w:val="7B7610C6"/>
    <w:rsid w:val="7B7A3A72"/>
    <w:rsid w:val="7BAC6E11"/>
    <w:rsid w:val="7BAE6AB2"/>
    <w:rsid w:val="7BC02341"/>
    <w:rsid w:val="7BFB4663"/>
    <w:rsid w:val="7C482A62"/>
    <w:rsid w:val="7C4D62CB"/>
    <w:rsid w:val="7C5E4034"/>
    <w:rsid w:val="7C633E7C"/>
    <w:rsid w:val="7C966A36"/>
    <w:rsid w:val="7C9E3594"/>
    <w:rsid w:val="7CA2748B"/>
    <w:rsid w:val="7CC706E3"/>
    <w:rsid w:val="7CE87DA1"/>
    <w:rsid w:val="7CFD27A3"/>
    <w:rsid w:val="7D230DDA"/>
    <w:rsid w:val="7D347921"/>
    <w:rsid w:val="7D360B0D"/>
    <w:rsid w:val="7D4C6582"/>
    <w:rsid w:val="7D621902"/>
    <w:rsid w:val="7D820DF4"/>
    <w:rsid w:val="7D831878"/>
    <w:rsid w:val="7D883AC8"/>
    <w:rsid w:val="7D8A0E59"/>
    <w:rsid w:val="7D9F66B2"/>
    <w:rsid w:val="7DA168CE"/>
    <w:rsid w:val="7DB02960"/>
    <w:rsid w:val="7DB10365"/>
    <w:rsid w:val="7DC61F59"/>
    <w:rsid w:val="7DD65539"/>
    <w:rsid w:val="7DFB51E7"/>
    <w:rsid w:val="7E030C18"/>
    <w:rsid w:val="7E1E1774"/>
    <w:rsid w:val="7E4D25B2"/>
    <w:rsid w:val="7E590F57"/>
    <w:rsid w:val="7E5E78B5"/>
    <w:rsid w:val="7ED25BF7"/>
    <w:rsid w:val="7EDA196C"/>
    <w:rsid w:val="7EDC16E1"/>
    <w:rsid w:val="7EE84790"/>
    <w:rsid w:val="7EFC5D86"/>
    <w:rsid w:val="7F417EDE"/>
    <w:rsid w:val="7F743B6E"/>
    <w:rsid w:val="7F7511B7"/>
    <w:rsid w:val="7F7E49ED"/>
    <w:rsid w:val="7F9F3E08"/>
    <w:rsid w:val="7FA129E2"/>
    <w:rsid w:val="7FBA6B22"/>
    <w:rsid w:val="7FDB599C"/>
    <w:rsid w:val="7FE52EF9"/>
    <w:rsid w:val="7FF32CE5"/>
    <w:rsid w:val="7FF54DB3"/>
    <w:rsid w:val="937F721D"/>
    <w:rsid w:val="9FCB1CCF"/>
    <w:rsid w:val="AFF74DED"/>
    <w:rsid w:val="B767F287"/>
    <w:rsid w:val="BEAB8115"/>
    <w:rsid w:val="BEEFFDEE"/>
    <w:rsid w:val="BF7F2216"/>
    <w:rsid w:val="BFCD7200"/>
    <w:rsid w:val="BFFCF4A2"/>
    <w:rsid w:val="BFFFB58D"/>
    <w:rsid w:val="DC771952"/>
    <w:rsid w:val="EADF3272"/>
    <w:rsid w:val="EE49BF7B"/>
    <w:rsid w:val="EF5793F9"/>
    <w:rsid w:val="EF9F680E"/>
    <w:rsid w:val="EFDAD3C3"/>
    <w:rsid w:val="F2D76F59"/>
    <w:rsid w:val="F2FED6EC"/>
    <w:rsid w:val="F7DD13AA"/>
    <w:rsid w:val="FADF2453"/>
    <w:rsid w:val="FAFDEE07"/>
    <w:rsid w:val="FB7F80B3"/>
    <w:rsid w:val="FE81ED9B"/>
    <w:rsid w:val="FF7D49D8"/>
    <w:rsid w:val="FFA77773"/>
    <w:rsid w:val="FFA9A2CA"/>
    <w:rsid w:val="FFD7FEF2"/>
    <w:rsid w:val="FFEF669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pPr>
    <w:rPr>
      <w:rFonts w:ascii="仿宋_GB2312" w:eastAsia="仿宋_GB2312" w:hAnsiTheme="minorHAnsi" w:cstheme="minorBidi"/>
      <w:kern w:val="2"/>
      <w:sz w:val="32"/>
      <w:szCs w:val="22"/>
      <w:lang w:val="en-US" w:eastAsia="zh-CN" w:bidi="ar-SA"/>
    </w:rPr>
  </w:style>
  <w:style w:type="paragraph" w:styleId="2">
    <w:name w:val="heading 1"/>
    <w:basedOn w:val="1"/>
    <w:next w:val="1"/>
    <w:link w:val="15"/>
    <w:autoRedefine/>
    <w:qFormat/>
    <w:uiPriority w:val="9"/>
    <w:pPr>
      <w:keepNext/>
      <w:keepLines/>
      <w:outlineLvl w:val="0"/>
    </w:pPr>
    <w:rPr>
      <w:rFonts w:eastAsia="黑体"/>
      <w:bCs/>
      <w:kern w:val="44"/>
      <w:szCs w:val="44"/>
    </w:rPr>
  </w:style>
  <w:style w:type="paragraph" w:styleId="3">
    <w:name w:val="heading 2"/>
    <w:basedOn w:val="1"/>
    <w:next w:val="1"/>
    <w:link w:val="12"/>
    <w:autoRedefine/>
    <w:unhideWhenUsed/>
    <w:qFormat/>
    <w:uiPriority w:val="9"/>
    <w:pPr>
      <w:keepNext/>
      <w:keepLines/>
      <w:outlineLvl w:val="1"/>
    </w:pPr>
    <w:rPr>
      <w:rFonts w:eastAsia="楷体" w:asciiTheme="majorHAnsi" w:hAnsiTheme="majorHAnsi" w:cstheme="majorBidi"/>
      <w:b/>
      <w:bCs/>
      <w:szCs w:val="32"/>
    </w:rPr>
  </w:style>
  <w:style w:type="paragraph" w:styleId="4">
    <w:name w:val="heading 3"/>
    <w:basedOn w:val="1"/>
    <w:next w:val="1"/>
    <w:link w:val="17"/>
    <w:autoRedefine/>
    <w:unhideWhenUsed/>
    <w:qFormat/>
    <w:uiPriority w:val="9"/>
    <w:pPr>
      <w:keepNext/>
      <w:keepLines/>
      <w:outlineLvl w:val="2"/>
    </w:pPr>
    <w:rPr>
      <w:b/>
      <w:bCs/>
      <w:szCs w:val="32"/>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5">
    <w:name w:val="footer"/>
    <w:basedOn w:val="1"/>
    <w:link w:val="19"/>
    <w:autoRedefine/>
    <w:unhideWhenUsed/>
    <w:qFormat/>
    <w:uiPriority w:val="99"/>
    <w:pPr>
      <w:tabs>
        <w:tab w:val="center" w:pos="4153"/>
        <w:tab w:val="right" w:pos="8306"/>
      </w:tabs>
      <w:snapToGrid w:val="0"/>
      <w:jc w:val="left"/>
    </w:pPr>
    <w:rPr>
      <w:sz w:val="18"/>
      <w:szCs w:val="18"/>
    </w:rPr>
  </w:style>
  <w:style w:type="paragraph" w:styleId="6">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6"/>
    <w:autoRedefine/>
    <w:qFormat/>
    <w:uiPriority w:val="11"/>
    <w:pPr>
      <w:jc w:val="center"/>
      <w:outlineLvl w:val="1"/>
    </w:pPr>
    <w:rPr>
      <w:rFonts w:eastAsia="楷体"/>
      <w:b/>
      <w:bCs/>
      <w:kern w:val="28"/>
      <w:szCs w:val="32"/>
    </w:rPr>
  </w:style>
  <w:style w:type="paragraph" w:styleId="8">
    <w:name w:val="Normal (Web)"/>
    <w:basedOn w:val="1"/>
    <w:autoRedefine/>
    <w:semiHidden/>
    <w:unhideWhenUsed/>
    <w:qFormat/>
    <w:uiPriority w:val="99"/>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character" w:styleId="11">
    <w:name w:val="Strong"/>
    <w:basedOn w:val="10"/>
    <w:autoRedefine/>
    <w:qFormat/>
    <w:uiPriority w:val="22"/>
    <w:rPr>
      <w:b/>
    </w:rPr>
  </w:style>
  <w:style w:type="character" w:customStyle="1" w:styleId="12">
    <w:name w:val="标题 2 字符"/>
    <w:basedOn w:val="10"/>
    <w:link w:val="3"/>
    <w:autoRedefine/>
    <w:qFormat/>
    <w:uiPriority w:val="9"/>
    <w:rPr>
      <w:rFonts w:eastAsia="楷体" w:asciiTheme="majorHAnsi" w:hAnsiTheme="majorHAnsi" w:cstheme="majorBidi"/>
      <w:b/>
      <w:bCs/>
      <w:szCs w:val="32"/>
    </w:rPr>
  </w:style>
  <w:style w:type="paragraph" w:customStyle="1" w:styleId="13">
    <w:name w:val="主标题"/>
    <w:basedOn w:val="1"/>
    <w:link w:val="14"/>
    <w:autoRedefine/>
    <w:qFormat/>
    <w:uiPriority w:val="0"/>
    <w:pPr>
      <w:jc w:val="center"/>
    </w:pPr>
    <w:rPr>
      <w:rFonts w:eastAsia="方正小标宋简体"/>
      <w:sz w:val="40"/>
    </w:rPr>
  </w:style>
  <w:style w:type="character" w:customStyle="1" w:styleId="14">
    <w:name w:val="主标题 字符"/>
    <w:basedOn w:val="10"/>
    <w:link w:val="13"/>
    <w:autoRedefine/>
    <w:qFormat/>
    <w:uiPriority w:val="0"/>
    <w:rPr>
      <w:rFonts w:eastAsia="方正小标宋简体"/>
      <w:sz w:val="40"/>
    </w:rPr>
  </w:style>
  <w:style w:type="character" w:customStyle="1" w:styleId="15">
    <w:name w:val="标题 1 字符"/>
    <w:basedOn w:val="10"/>
    <w:link w:val="2"/>
    <w:autoRedefine/>
    <w:qFormat/>
    <w:uiPriority w:val="9"/>
    <w:rPr>
      <w:rFonts w:eastAsia="黑体"/>
      <w:bCs/>
      <w:kern w:val="44"/>
      <w:szCs w:val="44"/>
    </w:rPr>
  </w:style>
  <w:style w:type="character" w:customStyle="1" w:styleId="16">
    <w:name w:val="副标题 字符"/>
    <w:basedOn w:val="10"/>
    <w:link w:val="7"/>
    <w:autoRedefine/>
    <w:qFormat/>
    <w:uiPriority w:val="11"/>
    <w:rPr>
      <w:rFonts w:eastAsia="楷体"/>
      <w:b/>
      <w:bCs/>
      <w:kern w:val="28"/>
      <w:szCs w:val="32"/>
    </w:rPr>
  </w:style>
  <w:style w:type="character" w:customStyle="1" w:styleId="17">
    <w:name w:val="标题 3 字符"/>
    <w:basedOn w:val="10"/>
    <w:link w:val="4"/>
    <w:autoRedefine/>
    <w:qFormat/>
    <w:uiPriority w:val="9"/>
    <w:rPr>
      <w:rFonts w:eastAsia="仿宋"/>
      <w:b/>
      <w:bCs/>
      <w:szCs w:val="32"/>
    </w:rPr>
  </w:style>
  <w:style w:type="character" w:customStyle="1" w:styleId="18">
    <w:name w:val="页眉 字符"/>
    <w:basedOn w:val="10"/>
    <w:link w:val="6"/>
    <w:autoRedefine/>
    <w:qFormat/>
    <w:uiPriority w:val="99"/>
    <w:rPr>
      <w:sz w:val="18"/>
      <w:szCs w:val="18"/>
    </w:rPr>
  </w:style>
  <w:style w:type="character" w:customStyle="1" w:styleId="19">
    <w:name w:val="页脚 字符"/>
    <w:basedOn w:val="10"/>
    <w:link w:val="5"/>
    <w:autoRedefine/>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11298</Words>
  <Characters>11677</Characters>
  <Lines>1</Lines>
  <Paragraphs>1</Paragraphs>
  <TotalTime>12</TotalTime>
  <ScaleCrop>false</ScaleCrop>
  <LinksUpToDate>false</LinksUpToDate>
  <CharactersWithSpaces>11711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2023-12-25T00:14:00Z</dcterms:created>
  <dc:creator>Administrator</dc:creator>
  <cp:lastModifiedBy>王义正</cp:lastModifiedBy>
  <cp:lastPrinted>2025-06-05T06:45:00Z</cp:lastPrinted>
  <dcterms:modified xsi:type="dcterms:W3CDTF">2025-06-09T07:15:26Z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184445BE867C42DEBD445582E23A2D07_13</vt:lpwstr>
  </property>
  <property fmtid="{D5CDD505-2E9C-101B-9397-08002B2CF9AE}" pid="4" name="KSOTemplateDocerSaveRecord">
    <vt:lpwstr>eyJoZGlkIjoiNWFlNDA3YzljY2FlOGYyYWM0NDZlYzlmYWJmYzFhZDIiLCJ1c2VySWQiOiIxNTc3MDE0NDA3In0=</vt:lpwstr>
  </property>
</Properties>
</file>