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区文</w:t>
      </w:r>
      <w:r>
        <w:rPr>
          <w:rFonts w:hint="eastAsia" w:ascii="方正小标宋简体" w:hAnsi="方正小标宋简体" w:eastAsia="方正小标宋简体" w:cs="方正小标宋简体"/>
          <w:sz w:val="44"/>
          <w:szCs w:val="44"/>
          <w:lang w:val="en-US" w:eastAsia="zh-CN"/>
        </w:rPr>
        <w:t>化</w:t>
      </w:r>
      <w:r>
        <w:rPr>
          <w:rFonts w:hint="eastAsia" w:ascii="方正小标宋简体" w:hAnsi="方正小标宋简体" w:eastAsia="方正小标宋简体" w:cs="方正小标宋简体"/>
          <w:sz w:val="44"/>
          <w:szCs w:val="44"/>
          <w:lang w:eastAsia="zh-CN"/>
        </w:rPr>
        <w:t>旅</w:t>
      </w:r>
      <w:r>
        <w:rPr>
          <w:rFonts w:hint="eastAsia" w:ascii="方正小标宋简体" w:hAnsi="方正小标宋简体" w:eastAsia="方正小标宋简体" w:cs="方正小标宋简体"/>
          <w:sz w:val="44"/>
          <w:szCs w:val="44"/>
          <w:lang w:val="en-US" w:eastAsia="zh-CN"/>
        </w:rPr>
        <w:t>游</w:t>
      </w:r>
      <w:r>
        <w:rPr>
          <w:rFonts w:hint="eastAsia" w:ascii="方正小标宋简体" w:hAnsi="方正小标宋简体" w:eastAsia="方正小标宋简体" w:cs="方正小标宋简体"/>
          <w:sz w:val="44"/>
          <w:szCs w:val="44"/>
          <w:lang w:eastAsia="zh-CN"/>
        </w:rPr>
        <w:t>广电局</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18</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区文化旅游广电局</w:t>
      </w:r>
      <w:r>
        <w:rPr>
          <w:rFonts w:hint="eastAsia" w:ascii="方正小标宋简体" w:hAnsi="方正小标宋简体" w:eastAsia="方正小标宋简体" w:cs="方正小标宋简体"/>
          <w:sz w:val="44"/>
          <w:szCs w:val="44"/>
        </w:rPr>
        <w:t>部门整体支出绩效自评报告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(一)职能职责</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1、研究拟订全区文化、旅游、广播电视、网络视听节目服务管理、文物</w:t>
      </w:r>
      <w:r>
        <w:rPr>
          <w:rFonts w:hint="eastAsia" w:ascii="仿宋" w:hAnsi="仿宋" w:eastAsia="仿宋" w:cs="仿宋"/>
          <w:kern w:val="2"/>
          <w:sz w:val="30"/>
          <w:szCs w:val="30"/>
          <w:lang w:val="en-US" w:eastAsia="zh-CN" w:bidi="ar-SA"/>
        </w:rPr>
        <w:t>和博物馆事业的政策措施，加强广播电视阵地管理，把握正确的舆论导向和创作导向。</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2、统筹规划文化事业、文化产业、旅游业和文物事业发展，拟订发展规划并组织实施，推进文化和旅游融合发展。推进文化和旅游体制机制改革，</w:t>
      </w:r>
      <w:bookmarkStart w:id="0" w:name="_GoBack"/>
      <w:bookmarkEnd w:id="0"/>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管理全区性重大文化和旅游活动，指导全区重点文化设施、旅游设施和广电基础设施建设，组织全区旅游整体形象推广，促进文化产业和旅游产业对外合作和市场推广制定旅游市场开发战略并组织实施、指导、推进全域旅游。</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4、指导、管理文艺事业，指导艺术创作生产、扶持体现社会主义核心价值观、具有导向性代表性示范性的文艺作品。推动各门类艺术、各艺术品种发展。</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负责全区公共文化事业发展，推进全区公共文化服务体系建设和旅游公共服务建设，深入实施文化惠民工程统筹推进基本公共文化服务标准化、均等化。负责制定广播电视领域事业发展政策和规划，组织实施公共服务中重大公益工程和公益活动，扶助广播电视建设和发展。</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6、指导、推进文化和旅游科技创新发展，推进文化和旅游行业信息化、标准化建设。</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7、指导、协调全区文物的管理、保护、抢救、发掘、研究、出境、宣传等业务工作。</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8、负责全区非物质文化遗产保护，推动非物质文化遗产的保护、传承、普及、弘扬和振兴。</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9、</w:t>
      </w:r>
      <w:r>
        <w:rPr>
          <w:rFonts w:hint="eastAsia" w:ascii="仿宋" w:hAnsi="仿宋" w:eastAsia="仿宋" w:cs="仿宋"/>
          <w:sz w:val="30"/>
          <w:szCs w:val="30"/>
        </w:rPr>
        <w:t>统筹规划全区文化产业和旅游产业，组织实施文化和旅游资源普查、挖据、保护和利用工作，促进文化产业和旅游产业发展。指导、协调、推动广播电视领域产业发展、制定发展规划、产业政策并组织实施。</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10、指导全区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11、指导全区文化市场综合执法,组织查处全区性文化文物、广播电视、旅游等市场的违法行为，维护市场秩序。</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12、指导、监督管理，审查广播电视节目，网络视听节目的内容和质量。指导、监管广播电视广告播放。</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3</w:t>
      </w:r>
      <w:r>
        <w:rPr>
          <w:rFonts w:hint="eastAsia" w:ascii="仿宋" w:hAnsi="仿宋" w:eastAsia="仿宋" w:cs="仿宋"/>
          <w:sz w:val="30"/>
          <w:szCs w:val="30"/>
        </w:rPr>
        <w:t>、指导、协调广播电视全区性重大宣传活动，指导实施广桥电视节目评价工作。</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14、</w:t>
      </w:r>
      <w:r>
        <w:rPr>
          <w:rFonts w:hint="eastAsia" w:ascii="仿宋" w:hAnsi="仿宋" w:eastAsia="仿宋" w:cs="仿宋"/>
          <w:sz w:val="30"/>
          <w:szCs w:val="30"/>
        </w:rPr>
        <w:t>负责推进广播电视与新媒体新技术新业态融合发展。</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15、</w:t>
      </w:r>
      <w:r>
        <w:rPr>
          <w:rFonts w:hint="eastAsia" w:ascii="仿宋" w:hAnsi="仿宋" w:eastAsia="仿宋" w:cs="仿宋"/>
          <w:sz w:val="30"/>
          <w:szCs w:val="30"/>
        </w:rPr>
        <w:t>协调指导全区文物和博物馆安全防范工作。</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6</w:t>
      </w:r>
      <w:r>
        <w:rPr>
          <w:rFonts w:hint="eastAsia" w:ascii="仿宋" w:hAnsi="仿宋" w:eastAsia="仿宋" w:cs="仿宋"/>
          <w:sz w:val="30"/>
          <w:szCs w:val="30"/>
        </w:rPr>
        <w:t>、承办区委、区管委交办的其他事项。</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rPr>
        <w:t>(二)机构设置</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rPr>
      </w:pPr>
      <w:r>
        <w:rPr>
          <w:rFonts w:hint="eastAsia" w:ascii="宋体" w:hAnsi="宋体" w:eastAsia="宋体" w:cs="宋体"/>
          <w:sz w:val="30"/>
          <w:szCs w:val="30"/>
        </w:rPr>
        <w:t xml:space="preserve"> </w:t>
      </w:r>
      <w:r>
        <w:rPr>
          <w:rFonts w:hint="eastAsia" w:ascii="仿宋" w:hAnsi="仿宋" w:eastAsia="仿宋" w:cs="仿宋"/>
          <w:sz w:val="30"/>
          <w:szCs w:val="30"/>
        </w:rPr>
        <w:t xml:space="preserve">屈原管理区文化旅游广电局下设一个二级机构文化市场综合执法大队，其中在职 </w:t>
      </w:r>
      <w:r>
        <w:rPr>
          <w:rFonts w:hint="eastAsia" w:ascii="仿宋" w:hAnsi="仿宋" w:eastAsia="仿宋" w:cs="仿宋"/>
          <w:sz w:val="30"/>
          <w:szCs w:val="30"/>
          <w:lang w:val="en-US" w:eastAsia="zh-CN"/>
        </w:rPr>
        <w:t>9</w:t>
      </w:r>
      <w:r>
        <w:rPr>
          <w:rFonts w:hint="eastAsia" w:ascii="仿宋" w:hAnsi="仿宋" w:eastAsia="仿宋" w:cs="仿宋"/>
          <w:sz w:val="30"/>
          <w:szCs w:val="30"/>
        </w:rPr>
        <w:t>人。</w:t>
      </w:r>
    </w:p>
    <w:p>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5"/>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sz w:val="32"/>
          <w:szCs w:val="32"/>
        </w:rPr>
      </w:pPr>
      <w:r>
        <w:rPr>
          <w:rFonts w:hint="eastAsia" w:ascii="仿宋" w:hAnsi="仿宋" w:eastAsia="仿宋" w:cs="仿宋"/>
          <w:b w:val="0"/>
          <w:bCs/>
          <w:sz w:val="32"/>
          <w:szCs w:val="32"/>
          <w:highlight w:val="none"/>
        </w:rPr>
        <w:t>基本支出情况：全年支出</w:t>
      </w:r>
      <w:r>
        <w:rPr>
          <w:rFonts w:hint="eastAsia" w:ascii="仿宋" w:hAnsi="仿宋" w:eastAsia="仿宋" w:cs="仿宋"/>
          <w:b w:val="0"/>
          <w:bCs/>
          <w:sz w:val="32"/>
          <w:szCs w:val="32"/>
          <w:highlight w:val="none"/>
          <w:lang w:val="en-US" w:eastAsia="zh-CN"/>
        </w:rPr>
        <w:t>153.64</w:t>
      </w:r>
      <w:r>
        <w:rPr>
          <w:rFonts w:hint="eastAsia" w:ascii="仿宋" w:hAnsi="仿宋" w:eastAsia="仿宋" w:cs="仿宋"/>
          <w:b w:val="0"/>
          <w:bCs/>
          <w:sz w:val="32"/>
          <w:szCs w:val="32"/>
          <w:highlight w:val="none"/>
        </w:rPr>
        <w:t>万元，其中，工资福利支出</w:t>
      </w:r>
      <w:r>
        <w:rPr>
          <w:rFonts w:hint="eastAsia" w:ascii="仿宋" w:hAnsi="仿宋" w:eastAsia="仿宋" w:cs="仿宋"/>
          <w:b w:val="0"/>
          <w:bCs/>
          <w:sz w:val="32"/>
          <w:szCs w:val="32"/>
          <w:highlight w:val="none"/>
          <w:lang w:val="en-US" w:eastAsia="zh-CN"/>
        </w:rPr>
        <w:t>137.74</w:t>
      </w:r>
      <w:r>
        <w:rPr>
          <w:rFonts w:hint="eastAsia" w:ascii="仿宋" w:hAnsi="仿宋" w:eastAsia="仿宋" w:cs="仿宋"/>
          <w:b w:val="0"/>
          <w:bCs/>
          <w:sz w:val="32"/>
          <w:szCs w:val="32"/>
          <w:highlight w:val="none"/>
        </w:rPr>
        <w:t xml:space="preserve">万元，商品和服务支出 </w:t>
      </w:r>
      <w:r>
        <w:rPr>
          <w:rFonts w:hint="eastAsia" w:ascii="仿宋" w:hAnsi="仿宋" w:eastAsia="仿宋" w:cs="仿宋"/>
          <w:b w:val="0"/>
          <w:bCs/>
          <w:sz w:val="32"/>
          <w:szCs w:val="32"/>
          <w:highlight w:val="none"/>
          <w:lang w:val="en-US" w:eastAsia="zh-CN"/>
        </w:rPr>
        <w:t>15.9</w:t>
      </w:r>
      <w:r>
        <w:rPr>
          <w:rFonts w:hint="eastAsia" w:ascii="仿宋" w:hAnsi="仿宋" w:eastAsia="仿宋" w:cs="仿宋"/>
          <w:b w:val="0"/>
          <w:bCs/>
          <w:sz w:val="32"/>
          <w:szCs w:val="32"/>
          <w:highlight w:val="none"/>
        </w:rPr>
        <w:t>万元，对个人和家庭的补助</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w:t>
      </w:r>
    </w:p>
    <w:p>
      <w:pPr>
        <w:pStyle w:val="5"/>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sz w:val="32"/>
          <w:szCs w:val="32"/>
          <w:lang w:val="en-US" w:eastAsia="zh-CN"/>
        </w:rPr>
      </w:pPr>
      <w:r>
        <w:rPr>
          <w:rFonts w:hint="eastAsia" w:ascii="仿宋" w:hAnsi="仿宋" w:eastAsia="仿宋" w:cs="仿宋"/>
          <w:b w:val="0"/>
          <w:bCs/>
          <w:sz w:val="32"/>
          <w:szCs w:val="32"/>
          <w:highlight w:val="none"/>
        </w:rPr>
        <w:t>项目支出情况：全年支出</w:t>
      </w:r>
      <w:r>
        <w:rPr>
          <w:rFonts w:hint="eastAsia" w:ascii="仿宋" w:hAnsi="仿宋" w:eastAsia="仿宋" w:cs="仿宋"/>
          <w:b w:val="0"/>
          <w:bCs/>
          <w:sz w:val="32"/>
          <w:szCs w:val="32"/>
          <w:highlight w:val="none"/>
          <w:lang w:val="en-US" w:eastAsia="zh-CN"/>
        </w:rPr>
        <w:t>31.2</w:t>
      </w:r>
      <w:r>
        <w:rPr>
          <w:rFonts w:hint="eastAsia" w:ascii="仿宋" w:hAnsi="仿宋" w:eastAsia="仿宋" w:cs="仿宋"/>
          <w:b w:val="0"/>
          <w:bCs/>
          <w:sz w:val="32"/>
          <w:szCs w:val="32"/>
          <w:highlight w:val="none"/>
        </w:rPr>
        <w:t>万元，其中，工资福利支出</w:t>
      </w:r>
      <w:r>
        <w:rPr>
          <w:rFonts w:hint="eastAsia" w:ascii="仿宋" w:hAnsi="仿宋" w:eastAsia="仿宋" w:cs="仿宋"/>
          <w:b w:val="0"/>
          <w:bCs/>
          <w:sz w:val="32"/>
          <w:szCs w:val="32"/>
          <w:highlight w:val="none"/>
          <w:lang w:val="en-US" w:eastAsia="zh-CN"/>
        </w:rPr>
        <w:t>3.22</w:t>
      </w:r>
      <w:r>
        <w:rPr>
          <w:rFonts w:hint="eastAsia" w:ascii="仿宋" w:hAnsi="仿宋" w:eastAsia="仿宋" w:cs="仿宋"/>
          <w:b w:val="0"/>
          <w:bCs/>
          <w:sz w:val="32"/>
          <w:szCs w:val="32"/>
          <w:highlight w:val="none"/>
        </w:rPr>
        <w:t xml:space="preserve">万元，商品和服务支出 </w:t>
      </w:r>
      <w:r>
        <w:rPr>
          <w:rFonts w:hint="eastAsia" w:ascii="仿宋" w:hAnsi="仿宋" w:eastAsia="仿宋" w:cs="仿宋"/>
          <w:b w:val="0"/>
          <w:bCs/>
          <w:sz w:val="32"/>
          <w:szCs w:val="32"/>
          <w:highlight w:val="none"/>
          <w:lang w:val="en-US" w:eastAsia="zh-CN"/>
        </w:rPr>
        <w:t>27.98</w:t>
      </w:r>
      <w:r>
        <w:rPr>
          <w:rFonts w:hint="eastAsia" w:ascii="仿宋" w:hAnsi="仿宋" w:eastAsia="仿宋" w:cs="仿宋"/>
          <w:b w:val="0"/>
          <w:bCs/>
          <w:sz w:val="32"/>
          <w:szCs w:val="32"/>
          <w:highlight w:val="none"/>
        </w:rPr>
        <w:t>万元，对个人和家庭的补助</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万元，资本性支出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w:t>
      </w:r>
      <w:r>
        <w:rPr>
          <w:rFonts w:hint="eastAsia" w:ascii="仿宋" w:hAnsi="仿宋" w:eastAsia="仿宋" w:cs="仿宋"/>
          <w:b w:val="0"/>
          <w:bCs/>
          <w:sz w:val="32"/>
          <w:szCs w:val="32"/>
          <w:highlight w:val="none"/>
          <w:lang w:val="en-US" w:eastAsia="zh-CN"/>
        </w:rPr>
        <w:t>。</w:t>
      </w:r>
    </w:p>
    <w:p>
      <w:pPr>
        <w:pStyle w:val="5"/>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firstLine="1280" w:firstLineChars="4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本单位无政府性基金预算支出</w:t>
      </w:r>
    </w:p>
    <w:p>
      <w:pPr>
        <w:pStyle w:val="5"/>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本单位无国有资本经营预算支出</w:t>
      </w:r>
    </w:p>
    <w:p>
      <w:pPr>
        <w:pStyle w:val="5"/>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本单位无社会保险基金预算支出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、部门整体支出绩效情况</w:t>
      </w:r>
    </w:p>
    <w:p>
      <w:pPr>
        <w:pStyle w:val="5"/>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区文旅广电局贯彻落实党中央和省市政府关于文化、旅游、广播电视工作和文物工作的方针政策和决策部署，全面落实区委区管委关于文化、旅游、广播电视和文物工作的部署要求，1.促进文化产业健康发展，扶持文化企业和文化项目的发展;2.加强旅游品牌建设，提升旅游服务水平，推动旅游业的全面发展;3.推进体育产业发展，打造一批重点体育项目，提高体育竞技水平;4.推动市文艺活动不断深入，加强公共文化服务体系建设。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年完成绩效目标 1、公共文化服务向社会提供送戏下乡 30 场，大型群众文艺活动 2场， 旅游宣传开发推介景点 3 处。</w:t>
      </w:r>
    </w:p>
    <w:p>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年，区文化旅游广电局坚决贯彻落实中央八项规定和省委九条规定，厉行勤俭节约，严格财务管理，支出绩效大幅提升，但仍然存在追加预算和财政业务不熟的问题。</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对于不可预见的资金需求事项，多做预测，多向领导汇报，在预算时及时调整，尽量少做“追加预算”事项。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宋体"/>
          <w:lang w:val="en-US" w:eastAsia="zh-CN"/>
        </w:rPr>
      </w:pPr>
      <w:r>
        <w:rPr>
          <w:rFonts w:hint="eastAsia" w:ascii="仿宋" w:hAnsi="仿宋" w:eastAsia="仿宋" w:cs="仿宋"/>
          <w:sz w:val="32"/>
          <w:szCs w:val="32"/>
          <w:lang w:val="en-US" w:eastAsia="zh-CN"/>
        </w:rPr>
        <w:t>2、加强业务学习和培训，进一步提升财政业务水平。</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pStyle w:val="2"/>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w:t>
      </w:r>
      <w:r>
        <w:rPr>
          <w:rFonts w:hint="eastAsia" w:ascii="仿宋" w:hAnsi="仿宋" w:eastAsia="仿宋" w:cs="仿宋"/>
          <w:kern w:val="2"/>
          <w:sz w:val="32"/>
          <w:szCs w:val="32"/>
          <w:lang w:val="en-US" w:eastAsia="zh-CN" w:bidi="ar-SA"/>
        </w:rPr>
        <w:t>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(二)部门整体支出绩效自评报告按照财政要求在规定时间内在政府门户网站上进行公开，接收社会监督。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其他需要说明的情况</w:t>
      </w:r>
    </w:p>
    <w:p>
      <w:pPr>
        <w:pStyle w:val="6"/>
        <w:ind w:firstLine="960" w:firstLineChars="300"/>
        <w:rPr>
          <w:rFonts w:hint="eastAsia" w:eastAsia="黑体"/>
          <w:lang w:val="en-US" w:eastAsia="zh-CN"/>
        </w:rPr>
      </w:pPr>
      <w:r>
        <w:rPr>
          <w:rFonts w:hint="eastAsia" w:ascii="Times New Roman" w:hAnsi="Times New Roman" w:eastAsia="黑体" w:cs="Times New Roman"/>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rPr>
      </w:pPr>
    </w:p>
    <w:p>
      <w:pPr>
        <w:rPr>
          <w:rFonts w:hint="eastAsia" w:ascii="Times New Roman" w:hAnsi="Times New Roman" w:eastAsia="仿宋_GB2312" w:cs="Times New Roman"/>
          <w:color w:val="000000"/>
          <w:spacing w:val="11"/>
          <w:kern w:val="2"/>
          <w:sz w:val="32"/>
          <w:szCs w:val="32"/>
          <w:highlight w:val="none"/>
          <w:lang w:val="en-US" w:eastAsia="zh-CN" w:bidi="ar-SA"/>
        </w:rPr>
      </w:pPr>
      <w:r>
        <w:rPr>
          <w:rFonts w:hint="eastAsia" w:ascii="Times New Roman" w:hAnsi="Times New Roman" w:eastAsia="仿宋_GB2312" w:cs="Times New Roman"/>
          <w:color w:val="000000"/>
          <w:spacing w:val="11"/>
          <w:kern w:val="2"/>
          <w:sz w:val="32"/>
          <w:szCs w:val="32"/>
          <w:highlight w:val="none"/>
          <w:lang w:val="en-US" w:eastAsia="zh-CN" w:bidi="ar-SA"/>
        </w:rPr>
        <w:t>报告需要以下附件：</w:t>
      </w:r>
    </w:p>
    <w:p>
      <w:pPr>
        <w:rPr>
          <w:rFonts w:hint="eastAsia" w:ascii="Times New Roman" w:hAnsi="Times New Roman" w:eastAsia="仿宋_GB2312" w:cs="Times New Roman"/>
          <w:color w:val="000000"/>
          <w:spacing w:val="11"/>
          <w:kern w:val="2"/>
          <w:sz w:val="32"/>
          <w:szCs w:val="32"/>
          <w:highlight w:val="none"/>
          <w:lang w:val="en-US" w:eastAsia="zh-CN" w:bidi="ar-SA"/>
        </w:rPr>
      </w:pPr>
      <w:r>
        <w:rPr>
          <w:rFonts w:hint="eastAsia" w:ascii="Times New Roman" w:hAnsi="Times New Roman" w:eastAsia="仿宋_GB2312" w:cs="Times New Roman"/>
          <w:color w:val="000000"/>
          <w:spacing w:val="11"/>
          <w:kern w:val="2"/>
          <w:sz w:val="32"/>
          <w:szCs w:val="32"/>
          <w:highlight w:val="none"/>
          <w:lang w:val="en-US" w:eastAsia="zh-CN" w:bidi="ar-SA"/>
        </w:rPr>
        <w:t>1.2024年度部门整体支出绩效自评表</w:t>
      </w:r>
    </w:p>
    <w:p>
      <w:pPr>
        <w:rPr>
          <w:rFonts w:hint="eastAsia" w:ascii="Times New Roman" w:hAnsi="Times New Roman" w:eastAsia="仿宋_GB2312" w:cs="Times New Roman"/>
          <w:color w:val="000000"/>
          <w:spacing w:val="11"/>
          <w:kern w:val="2"/>
          <w:sz w:val="32"/>
          <w:szCs w:val="32"/>
          <w:highlight w:val="none"/>
          <w:lang w:val="en-US" w:eastAsia="zh-CN" w:bidi="ar-SA"/>
        </w:rPr>
      </w:pPr>
      <w:r>
        <w:rPr>
          <w:rFonts w:hint="eastAsia" w:ascii="Times New Roman" w:hAnsi="Times New Roman" w:eastAsia="仿宋_GB2312" w:cs="Times New Roman"/>
          <w:color w:val="000000"/>
          <w:spacing w:val="11"/>
          <w:kern w:val="2"/>
          <w:sz w:val="32"/>
          <w:szCs w:val="32"/>
          <w:highlight w:val="none"/>
          <w:lang w:val="en-US" w:eastAsia="zh-CN" w:bidi="ar-SA"/>
        </w:rPr>
        <w:t>2.项目支出绩效自评表（一个一级项目支出一张表）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w:t>
      </w:r>
      <w:r>
        <w:rPr>
          <w:rFonts w:hint="eastAsia" w:ascii="Times New Roman" w:hAnsi="Times New Roman" w:eastAsia="方正小标宋_GBK" w:cs="Times New Roman"/>
          <w:color w:val="000000"/>
          <w:sz w:val="36"/>
          <w:szCs w:val="36"/>
          <w:lang w:val="en-US" w:eastAsia="zh-CN"/>
        </w:rPr>
        <w:t>24</w:t>
      </w:r>
      <w:r>
        <w:rPr>
          <w:rFonts w:hint="default" w:ascii="Times New Roman" w:hAnsi="Times New Roman" w:eastAsia="方正小标宋_GBK" w:cs="Times New Roman"/>
          <w:color w:val="000000"/>
          <w:sz w:val="36"/>
          <w:szCs w:val="36"/>
        </w:rPr>
        <w:t>年度部门整体支出绩效自评表</w:t>
      </w:r>
    </w:p>
    <w:tbl>
      <w:tblPr>
        <w:tblStyle w:val="3"/>
        <w:tblW w:w="8949" w:type="dxa"/>
        <w:jc w:val="center"/>
        <w:tblLayout w:type="fixed"/>
        <w:tblCellMar>
          <w:top w:w="0" w:type="dxa"/>
          <w:left w:w="108" w:type="dxa"/>
          <w:bottom w:w="0" w:type="dxa"/>
          <w:right w:w="108" w:type="dxa"/>
        </w:tblCellMar>
      </w:tblPr>
      <w:tblGrid>
        <w:gridCol w:w="1157"/>
        <w:gridCol w:w="554"/>
        <w:gridCol w:w="1142"/>
        <w:gridCol w:w="1832"/>
        <w:gridCol w:w="889"/>
        <w:gridCol w:w="913"/>
        <w:gridCol w:w="617"/>
        <w:gridCol w:w="882"/>
        <w:gridCol w:w="963"/>
      </w:tblGrid>
      <w:tr>
        <w:tblPrEx>
          <w:tblCellMar>
            <w:top w:w="0" w:type="dxa"/>
            <w:left w:w="108" w:type="dxa"/>
            <w:bottom w:w="0" w:type="dxa"/>
            <w:right w:w="108" w:type="dxa"/>
          </w:tblCellMar>
        </w:tblPrEx>
        <w:trPr>
          <w:trHeight w:val="90" w:hRule="atLeast"/>
          <w:jc w:val="center"/>
        </w:trPr>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default" w:ascii="Times New Roman" w:hAnsi="Times New Roman" w:eastAsia="仿宋_GB2312" w:cs="Times New Roman"/>
                <w:color w:val="000000"/>
                <w:sz w:val="20"/>
                <w:szCs w:val="20"/>
              </w:rPr>
              <w:t>级预算部门名称</w:t>
            </w:r>
          </w:p>
        </w:tc>
        <w:tc>
          <w:tcPr>
            <w:tcW w:w="7792"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屈原管理区文化旅游广电局</w:t>
            </w: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157"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1696"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p>
        </w:tc>
        <w:tc>
          <w:tcPr>
            <w:tcW w:w="1832"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88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91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617"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82"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96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157" w:type="dxa"/>
            <w:vMerge w:val="continue"/>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696"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832" w:type="dxa"/>
            <w:tcBorders>
              <w:top w:val="nil"/>
              <w:left w:val="nil"/>
              <w:bottom w:val="single" w:color="auto" w:sz="4" w:space="0"/>
              <w:right w:val="single" w:color="auto" w:sz="4" w:space="0"/>
            </w:tcBorders>
            <w:noWrap w:val="0"/>
            <w:vAlign w:val="center"/>
          </w:tcPr>
          <w:p>
            <w:pPr>
              <w:spacing w:line="240" w:lineRule="exact"/>
              <w:ind w:firstLine="200" w:firstLineChars="10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184.84</w:t>
            </w:r>
          </w:p>
        </w:tc>
        <w:tc>
          <w:tcPr>
            <w:tcW w:w="88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184.84</w:t>
            </w:r>
          </w:p>
        </w:tc>
        <w:tc>
          <w:tcPr>
            <w:tcW w:w="91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184.84</w:t>
            </w:r>
          </w:p>
        </w:tc>
        <w:tc>
          <w:tcPr>
            <w:tcW w:w="617"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82"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96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tblPrEx>
          <w:tblCellMar>
            <w:top w:w="0" w:type="dxa"/>
            <w:left w:w="108" w:type="dxa"/>
            <w:bottom w:w="0" w:type="dxa"/>
            <w:right w:w="108" w:type="dxa"/>
          </w:tblCellMar>
        </w:tblPrEx>
        <w:trPr>
          <w:jc w:val="center"/>
        </w:trPr>
        <w:tc>
          <w:tcPr>
            <w:tcW w:w="1157"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41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p>
        </w:tc>
        <w:tc>
          <w:tcPr>
            <w:tcW w:w="337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按支出性质分：</w:t>
            </w:r>
          </w:p>
        </w:tc>
      </w:tr>
      <w:tr>
        <w:tblPrEx>
          <w:tblCellMar>
            <w:top w:w="0" w:type="dxa"/>
            <w:left w:w="108" w:type="dxa"/>
            <w:bottom w:w="0" w:type="dxa"/>
            <w:right w:w="108" w:type="dxa"/>
          </w:tblCellMar>
        </w:tblPrEx>
        <w:trPr>
          <w:jc w:val="center"/>
        </w:trPr>
        <w:tc>
          <w:tcPr>
            <w:tcW w:w="1157"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41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:184.84万元</w:t>
            </w:r>
          </w:p>
        </w:tc>
        <w:tc>
          <w:tcPr>
            <w:tcW w:w="337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153.64万元</w:t>
            </w:r>
          </w:p>
        </w:tc>
      </w:tr>
      <w:tr>
        <w:tblPrEx>
          <w:tblCellMar>
            <w:top w:w="0" w:type="dxa"/>
            <w:left w:w="108" w:type="dxa"/>
            <w:bottom w:w="0" w:type="dxa"/>
            <w:right w:w="108" w:type="dxa"/>
          </w:tblCellMar>
        </w:tblPrEx>
        <w:trPr>
          <w:jc w:val="center"/>
        </w:trPr>
        <w:tc>
          <w:tcPr>
            <w:tcW w:w="1157"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417"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政府性基金拨款：</w:t>
            </w:r>
          </w:p>
        </w:tc>
        <w:tc>
          <w:tcPr>
            <w:tcW w:w="3375"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31.2万元</w:t>
            </w:r>
          </w:p>
        </w:tc>
      </w:tr>
      <w:tr>
        <w:tblPrEx>
          <w:tblCellMar>
            <w:top w:w="0" w:type="dxa"/>
            <w:left w:w="108" w:type="dxa"/>
            <w:bottom w:w="0" w:type="dxa"/>
            <w:right w:w="108" w:type="dxa"/>
          </w:tblCellMar>
        </w:tblPrEx>
        <w:trPr>
          <w:jc w:val="center"/>
        </w:trPr>
        <w:tc>
          <w:tcPr>
            <w:tcW w:w="1157"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41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337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157"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417"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p>
        </w:tc>
        <w:tc>
          <w:tcPr>
            <w:tcW w:w="337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157"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417"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337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157"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417"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公共文化服务向社会提供送戏下乡30场，大型群众文艺活动2场，旅游宣传开发推介景点3处。</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337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 按时按质按量完成各项工作    </w:t>
            </w:r>
          </w:p>
        </w:tc>
      </w:tr>
      <w:tr>
        <w:tblPrEx>
          <w:tblCellMar>
            <w:top w:w="0" w:type="dxa"/>
            <w:left w:w="108" w:type="dxa"/>
            <w:bottom w:w="0" w:type="dxa"/>
            <w:right w:w="108" w:type="dxa"/>
          </w:tblCellMar>
        </w:tblPrEx>
        <w:trPr>
          <w:jc w:val="center"/>
        </w:trPr>
        <w:tc>
          <w:tcPr>
            <w:tcW w:w="1157"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pPr>
              <w:widowControl/>
              <w:spacing w:line="240" w:lineRule="exact"/>
              <w:jc w:val="center"/>
              <w:rPr>
                <w:rFonts w:hint="default" w:ascii="Times New Roman" w:hAnsi="Times New Roman" w:eastAsia="仿宋_GB2312" w:cs="Times New Roman"/>
                <w:color w:val="000000"/>
                <w:sz w:val="20"/>
                <w:szCs w:val="20"/>
              </w:rPr>
            </w:pPr>
          </w:p>
        </w:tc>
        <w:tc>
          <w:tcPr>
            <w:tcW w:w="5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14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8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889"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913" w:type="dxa"/>
            <w:tcBorders>
              <w:top w:val="nil"/>
              <w:left w:val="nil"/>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61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96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trHeight w:val="388" w:hRule="atLeast"/>
          <w:jc w:val="center"/>
        </w:trPr>
        <w:tc>
          <w:tcPr>
            <w:tcW w:w="1157"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554" w:type="dxa"/>
            <w:vMerge w:val="restart"/>
            <w:tcBorders>
              <w:top w:val="single" w:color="auto" w:sz="4" w:space="0"/>
              <w:left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both"/>
              <w:rPr>
                <w:rFonts w:hint="default" w:ascii="Times New Roman" w:hAnsi="Times New Roman" w:eastAsia="仿宋_GB2312" w:cs="Times New Roman"/>
                <w:color w:val="000000"/>
                <w:sz w:val="20"/>
                <w:szCs w:val="20"/>
              </w:rPr>
            </w:pPr>
          </w:p>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142"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pStyle w:val="2"/>
              <w:numPr>
                <w:ilvl w:val="0"/>
                <w:numId w:val="0"/>
              </w:numPr>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2"/>
                <w:sz w:val="20"/>
                <w:szCs w:val="20"/>
                <w:lang w:val="en-US" w:eastAsia="zh-CN" w:bidi="ar-SA"/>
              </w:rPr>
              <w:t>送戏下乡场次</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30场</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30场</w:t>
            </w:r>
          </w:p>
        </w:tc>
        <w:tc>
          <w:tcPr>
            <w:tcW w:w="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9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tblPrEx>
          <w:tblCellMar>
            <w:top w:w="0" w:type="dxa"/>
            <w:left w:w="108" w:type="dxa"/>
            <w:bottom w:w="0" w:type="dxa"/>
            <w:right w:w="108" w:type="dxa"/>
          </w:tblCellMar>
        </w:tblPrEx>
        <w:trPr>
          <w:trHeight w:val="750" w:hRule="atLeast"/>
          <w:jc w:val="center"/>
        </w:trPr>
        <w:tc>
          <w:tcPr>
            <w:tcW w:w="1157"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554" w:type="dxa"/>
            <w:vMerge w:val="continue"/>
            <w:tcBorders>
              <w:left w:val="single" w:color="auto" w:sz="4" w:space="0"/>
              <w:right w:val="single" w:color="auto" w:sz="4" w:space="0"/>
            </w:tcBorders>
            <w:noWrap w:val="0"/>
            <w:vAlign w:val="center"/>
          </w:tcPr>
          <w:p>
            <w:pPr>
              <w:spacing w:line="240" w:lineRule="exact"/>
              <w:jc w:val="both"/>
              <w:rPr>
                <w:rFonts w:hint="default" w:ascii="Times New Roman" w:hAnsi="Times New Roman" w:eastAsia="仿宋_GB2312" w:cs="Times New Roman"/>
                <w:color w:val="000000"/>
                <w:sz w:val="20"/>
                <w:szCs w:val="20"/>
              </w:rPr>
            </w:pPr>
          </w:p>
        </w:tc>
        <w:tc>
          <w:tcPr>
            <w:tcW w:w="114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kern w:val="2"/>
                <w:sz w:val="20"/>
                <w:szCs w:val="20"/>
                <w:lang w:val="en-US" w:eastAsia="zh-CN" w:bidi="ar-SA"/>
              </w:rPr>
              <w:t>全区性大型群众文化活动次数</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2次</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2次</w:t>
            </w:r>
          </w:p>
        </w:tc>
        <w:tc>
          <w:tcPr>
            <w:tcW w:w="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750" w:hRule="atLeast"/>
          <w:jc w:val="center"/>
        </w:trPr>
        <w:tc>
          <w:tcPr>
            <w:tcW w:w="1157"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554" w:type="dxa"/>
            <w:vMerge w:val="continue"/>
            <w:tcBorders>
              <w:left w:val="single" w:color="auto" w:sz="4" w:space="0"/>
              <w:right w:val="single" w:color="auto" w:sz="4" w:space="0"/>
            </w:tcBorders>
            <w:noWrap w:val="0"/>
            <w:vAlign w:val="center"/>
          </w:tcPr>
          <w:p>
            <w:pPr>
              <w:spacing w:line="240" w:lineRule="exact"/>
              <w:jc w:val="both"/>
              <w:rPr>
                <w:rFonts w:hint="default" w:ascii="Times New Roman" w:hAnsi="Times New Roman" w:eastAsia="仿宋_GB2312" w:cs="Times New Roman"/>
                <w:color w:val="000000"/>
                <w:sz w:val="20"/>
                <w:szCs w:val="20"/>
              </w:rPr>
            </w:pPr>
          </w:p>
        </w:tc>
        <w:tc>
          <w:tcPr>
            <w:tcW w:w="1142"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1、文化艺术参赛活动奖项</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市级奖项</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市级奖项</w:t>
            </w:r>
          </w:p>
        </w:tc>
        <w:tc>
          <w:tcPr>
            <w:tcW w:w="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9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1466" w:hRule="atLeast"/>
          <w:jc w:val="center"/>
        </w:trPr>
        <w:tc>
          <w:tcPr>
            <w:tcW w:w="1157"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554" w:type="dxa"/>
            <w:vMerge w:val="continue"/>
            <w:tcBorders>
              <w:left w:val="single" w:color="auto" w:sz="4" w:space="0"/>
              <w:right w:val="single" w:color="auto" w:sz="4" w:space="0"/>
            </w:tcBorders>
            <w:noWrap w:val="0"/>
            <w:vAlign w:val="center"/>
          </w:tcPr>
          <w:p>
            <w:pPr>
              <w:spacing w:line="240" w:lineRule="exact"/>
              <w:jc w:val="both"/>
              <w:rPr>
                <w:rFonts w:hint="default" w:ascii="Times New Roman" w:hAnsi="Times New Roman" w:eastAsia="仿宋_GB2312" w:cs="Times New Roman"/>
                <w:color w:val="000000"/>
                <w:sz w:val="20"/>
                <w:szCs w:val="20"/>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送戏下乡完成时间</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年12月之前</w:t>
            </w:r>
          </w:p>
          <w:p>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年12月之前</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lang w:val="en-US" w:eastAsia="zh-CN"/>
              </w:rPr>
            </w:pPr>
          </w:p>
          <w:p>
            <w:pPr>
              <w:widowControl/>
              <w:spacing w:line="240" w:lineRule="exact"/>
              <w:jc w:val="center"/>
              <w:rPr>
                <w:rFonts w:hint="default" w:ascii="Times New Roman" w:hAnsi="Times New Roman" w:eastAsia="仿宋_GB2312" w:cs="Times New Roman"/>
                <w:color w:val="000000"/>
                <w:sz w:val="20"/>
                <w:szCs w:val="20"/>
              </w:rPr>
            </w:pPr>
          </w:p>
        </w:tc>
        <w:tc>
          <w:tcPr>
            <w:tcW w:w="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00" w:hRule="atLeast"/>
          <w:jc w:val="center"/>
        </w:trPr>
        <w:tc>
          <w:tcPr>
            <w:tcW w:w="1157"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554" w:type="dxa"/>
            <w:vMerge w:val="continue"/>
            <w:tcBorders>
              <w:left w:val="single" w:color="auto" w:sz="4" w:space="0"/>
              <w:right w:val="single" w:color="auto" w:sz="4" w:space="0"/>
            </w:tcBorders>
            <w:noWrap w:val="0"/>
            <w:vAlign w:val="center"/>
          </w:tcPr>
          <w:p>
            <w:pPr>
              <w:spacing w:line="240" w:lineRule="exact"/>
              <w:jc w:val="both"/>
              <w:rPr>
                <w:rFonts w:hint="default" w:ascii="Times New Roman" w:hAnsi="Times New Roman" w:eastAsia="仿宋_GB2312" w:cs="Times New Roman"/>
                <w:color w:val="000000"/>
                <w:sz w:val="20"/>
                <w:szCs w:val="20"/>
              </w:rPr>
            </w:pPr>
          </w:p>
        </w:tc>
        <w:tc>
          <w:tcPr>
            <w:tcW w:w="1142"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1、送戏下乡</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21万</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p>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21万</w:t>
            </w:r>
          </w:p>
          <w:p>
            <w:pPr>
              <w:widowControl/>
              <w:spacing w:line="240" w:lineRule="exact"/>
              <w:jc w:val="center"/>
              <w:rPr>
                <w:rFonts w:hint="default" w:ascii="Times New Roman" w:hAnsi="Times New Roman" w:eastAsia="仿宋_GB2312" w:cs="Times New Roman"/>
                <w:color w:val="000000"/>
                <w:sz w:val="20"/>
                <w:szCs w:val="20"/>
              </w:rPr>
            </w:pPr>
          </w:p>
        </w:tc>
        <w:tc>
          <w:tcPr>
            <w:tcW w:w="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p>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9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58" w:hRule="atLeast"/>
          <w:jc w:val="center"/>
        </w:trPr>
        <w:tc>
          <w:tcPr>
            <w:tcW w:w="1157"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554" w:type="dxa"/>
            <w:vMerge w:val="continue"/>
            <w:tcBorders>
              <w:left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c>
          <w:tcPr>
            <w:tcW w:w="1142"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8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2、旅游宣传开发</w:t>
            </w:r>
          </w:p>
        </w:tc>
        <w:tc>
          <w:tcPr>
            <w:tcW w:w="8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 万</w:t>
            </w:r>
          </w:p>
        </w:tc>
        <w:tc>
          <w:tcPr>
            <w:tcW w:w="9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 万</w:t>
            </w:r>
          </w:p>
        </w:tc>
        <w:tc>
          <w:tcPr>
            <w:tcW w:w="6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8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58" w:hRule="atLeast"/>
          <w:jc w:val="center"/>
        </w:trPr>
        <w:tc>
          <w:tcPr>
            <w:tcW w:w="1157"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55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c>
          <w:tcPr>
            <w:tcW w:w="114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8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3、大型文化群众活动</w:t>
            </w:r>
          </w:p>
        </w:tc>
        <w:tc>
          <w:tcPr>
            <w:tcW w:w="8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 万</w:t>
            </w:r>
          </w:p>
        </w:tc>
        <w:tc>
          <w:tcPr>
            <w:tcW w:w="9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 万</w:t>
            </w:r>
          </w:p>
        </w:tc>
        <w:tc>
          <w:tcPr>
            <w:tcW w:w="6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8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58" w:hRule="atLeast"/>
          <w:jc w:val="center"/>
        </w:trPr>
        <w:tc>
          <w:tcPr>
            <w:tcW w:w="1157"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5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0分）</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8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带动村集体、群众增收</w:t>
            </w:r>
          </w:p>
        </w:tc>
        <w:tc>
          <w:tcPr>
            <w:tcW w:w="8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500万</w:t>
            </w:r>
          </w:p>
        </w:tc>
        <w:tc>
          <w:tcPr>
            <w:tcW w:w="9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500万</w:t>
            </w:r>
          </w:p>
        </w:tc>
        <w:tc>
          <w:tcPr>
            <w:tcW w:w="6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10</w:t>
            </w:r>
          </w:p>
        </w:tc>
        <w:tc>
          <w:tcPr>
            <w:tcW w:w="882" w:type="dxa"/>
            <w:tcBorders>
              <w:top w:val="single" w:color="auto" w:sz="4" w:space="0"/>
              <w:left w:val="nil"/>
              <w:bottom w:val="single" w:color="auto" w:sz="4" w:space="0"/>
              <w:right w:val="single" w:color="auto" w:sz="4" w:space="0"/>
            </w:tcBorders>
            <w:noWrap w:val="0"/>
            <w:vAlign w:val="center"/>
          </w:tcPr>
          <w:p>
            <w:pPr>
              <w:widowControl/>
              <w:spacing w:line="240" w:lineRule="exact"/>
              <w:ind w:firstLine="200" w:firstLineChars="100"/>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573" w:hRule="atLeast"/>
          <w:jc w:val="center"/>
        </w:trPr>
        <w:tc>
          <w:tcPr>
            <w:tcW w:w="1157"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55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14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8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确保区委区管委中心工作。着重宣传到位，加强外宣，提升区域影响力</w:t>
            </w:r>
          </w:p>
        </w:tc>
        <w:tc>
          <w:tcPr>
            <w:tcW w:w="8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100%</w:t>
            </w:r>
          </w:p>
        </w:tc>
        <w:tc>
          <w:tcPr>
            <w:tcW w:w="9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6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10</w:t>
            </w:r>
          </w:p>
        </w:tc>
        <w:tc>
          <w:tcPr>
            <w:tcW w:w="88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696" w:hRule="atLeast"/>
          <w:jc w:val="center"/>
        </w:trPr>
        <w:tc>
          <w:tcPr>
            <w:tcW w:w="1157"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55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14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8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1、文化旅游资源开发利用率</w:t>
            </w:r>
          </w:p>
        </w:tc>
        <w:tc>
          <w:tcPr>
            <w:tcW w:w="88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50%</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p>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50%</w:t>
            </w:r>
          </w:p>
          <w:p>
            <w:pPr>
              <w:widowControl/>
              <w:spacing w:line="240" w:lineRule="exact"/>
              <w:jc w:val="center"/>
              <w:rPr>
                <w:rFonts w:hint="default" w:ascii="Times New Roman" w:hAnsi="Times New Roman" w:eastAsia="仿宋_GB2312" w:cs="Times New Roman"/>
                <w:color w:val="000000"/>
                <w:sz w:val="20"/>
                <w:szCs w:val="20"/>
                <w:lang w:val="en-US" w:eastAsia="zh-CN"/>
              </w:rPr>
            </w:pPr>
          </w:p>
          <w:p>
            <w:pPr>
              <w:widowControl/>
              <w:spacing w:line="240" w:lineRule="exact"/>
              <w:jc w:val="center"/>
              <w:rPr>
                <w:rFonts w:hint="default" w:ascii="Times New Roman" w:hAnsi="Times New Roman" w:eastAsia="仿宋_GB2312" w:cs="Times New Roman"/>
                <w:color w:val="000000"/>
                <w:sz w:val="20"/>
                <w:szCs w:val="20"/>
              </w:rPr>
            </w:pPr>
          </w:p>
        </w:tc>
        <w:tc>
          <w:tcPr>
            <w:tcW w:w="6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5</w:t>
            </w:r>
          </w:p>
        </w:tc>
        <w:tc>
          <w:tcPr>
            <w:tcW w:w="88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96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860" w:hRule="atLeast"/>
          <w:jc w:val="center"/>
        </w:trPr>
        <w:tc>
          <w:tcPr>
            <w:tcW w:w="1157"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5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2、国保、省保文化保护率</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860" w:hRule="atLeast"/>
          <w:jc w:val="center"/>
        </w:trPr>
        <w:tc>
          <w:tcPr>
            <w:tcW w:w="1157"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5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推进文化市场工作，确保文化市场稳定、安全。</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长期</w:t>
            </w:r>
          </w:p>
          <w:p>
            <w:pPr>
              <w:widowControl/>
              <w:spacing w:line="240" w:lineRule="exact"/>
              <w:jc w:val="center"/>
              <w:rPr>
                <w:rFonts w:hint="default" w:ascii="Times New Roman" w:hAnsi="Times New Roman" w:eastAsia="仿宋_GB2312" w:cs="Times New Roman"/>
                <w:color w:val="000000"/>
                <w:sz w:val="20"/>
                <w:szCs w:val="20"/>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长期</w:t>
            </w:r>
          </w:p>
          <w:p>
            <w:pPr>
              <w:widowControl/>
              <w:spacing w:line="240" w:lineRule="exact"/>
              <w:jc w:val="center"/>
              <w:rPr>
                <w:rFonts w:hint="eastAsia" w:ascii="Times New Roman" w:hAnsi="Times New Roman" w:eastAsia="仿宋_GB2312" w:cs="Times New Roman"/>
                <w:color w:val="000000"/>
                <w:sz w:val="20"/>
                <w:szCs w:val="20"/>
                <w:lang w:val="en-US" w:eastAsia="zh-CN"/>
              </w:rPr>
            </w:pPr>
          </w:p>
          <w:p>
            <w:pPr>
              <w:widowControl/>
              <w:spacing w:line="240" w:lineRule="exact"/>
              <w:jc w:val="center"/>
              <w:rPr>
                <w:rFonts w:hint="default" w:ascii="Times New Roman" w:hAnsi="Times New Roman" w:eastAsia="仿宋_GB2312" w:cs="Times New Roman"/>
                <w:color w:val="000000"/>
                <w:sz w:val="20"/>
                <w:szCs w:val="20"/>
              </w:rPr>
            </w:pPr>
          </w:p>
        </w:tc>
        <w:tc>
          <w:tcPr>
            <w:tcW w:w="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pPr>
              <w:widowControl/>
              <w:spacing w:line="240" w:lineRule="exact"/>
              <w:jc w:val="center"/>
              <w:rPr>
                <w:rFonts w:hint="default" w:ascii="Times New Roman" w:hAnsi="Times New Roman" w:eastAsia="仿宋_GB2312" w:cs="Times New Roman"/>
                <w:color w:val="000000"/>
                <w:sz w:val="20"/>
                <w:szCs w:val="20"/>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pPr>
              <w:widowControl/>
              <w:spacing w:line="240" w:lineRule="exact"/>
              <w:jc w:val="center"/>
              <w:rPr>
                <w:rFonts w:hint="default" w:ascii="Times New Roman" w:hAnsi="Times New Roman" w:eastAsia="仿宋_GB2312" w:cs="Times New Roman"/>
                <w:color w:val="000000"/>
                <w:sz w:val="20"/>
                <w:szCs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49" w:hRule="atLeast"/>
          <w:jc w:val="center"/>
        </w:trPr>
        <w:tc>
          <w:tcPr>
            <w:tcW w:w="1157"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5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14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群众对文化生活质量满意率</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p>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pPr>
              <w:widowControl/>
              <w:spacing w:line="240" w:lineRule="exact"/>
              <w:jc w:val="center"/>
              <w:rPr>
                <w:rFonts w:hint="default" w:ascii="Times New Roman" w:hAnsi="Times New Roman" w:eastAsia="仿宋_GB2312" w:cs="Times New Roman"/>
                <w:color w:val="000000"/>
                <w:sz w:val="20"/>
                <w:szCs w:val="20"/>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w:t>
            </w:r>
          </w:p>
        </w:tc>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70" w:hRule="atLeast"/>
          <w:jc w:val="center"/>
        </w:trPr>
        <w:tc>
          <w:tcPr>
            <w:tcW w:w="6487"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1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8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w:t>
            </w:r>
          </w:p>
        </w:tc>
        <w:tc>
          <w:tcPr>
            <w:tcW w:w="96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2-1</w:t>
      </w:r>
    </w:p>
    <w:p>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851" w:type="dxa"/>
        <w:jc w:val="center"/>
        <w:tblLayout w:type="fixed"/>
        <w:tblCellMar>
          <w:top w:w="0" w:type="dxa"/>
          <w:left w:w="108" w:type="dxa"/>
          <w:bottom w:w="0" w:type="dxa"/>
          <w:right w:w="108" w:type="dxa"/>
        </w:tblCellMar>
      </w:tblPr>
      <w:tblGrid>
        <w:gridCol w:w="944"/>
        <w:gridCol w:w="1065"/>
        <w:gridCol w:w="1231"/>
        <w:gridCol w:w="1754"/>
        <w:gridCol w:w="948"/>
        <w:gridCol w:w="790"/>
        <w:gridCol w:w="828"/>
        <w:gridCol w:w="873"/>
        <w:gridCol w:w="1418"/>
      </w:tblGrid>
      <w:tr>
        <w:tblPrEx>
          <w:tblCellMar>
            <w:top w:w="0" w:type="dxa"/>
            <w:left w:w="108" w:type="dxa"/>
            <w:bottom w:w="0" w:type="dxa"/>
            <w:right w:w="108" w:type="dxa"/>
          </w:tblCellMar>
        </w:tblPrEx>
        <w:trP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907"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文化市场执法经费　</w:t>
            </w:r>
          </w:p>
        </w:tc>
      </w:tr>
      <w:tr>
        <w:tblPrEx>
          <w:tblCellMar>
            <w:top w:w="0" w:type="dxa"/>
            <w:left w:w="108" w:type="dxa"/>
            <w:bottom w:w="0" w:type="dxa"/>
            <w:right w:w="108" w:type="dxa"/>
          </w:tblCellMar>
        </w:tblPrEx>
        <w:trPr>
          <w:jc w:val="center"/>
        </w:trPr>
        <w:tc>
          <w:tcPr>
            <w:tcW w:w="9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99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区文化旅游广电局</w:t>
            </w:r>
          </w:p>
        </w:tc>
        <w:tc>
          <w:tcPr>
            <w:tcW w:w="79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w:t>
            </w:r>
            <w:r>
              <w:rPr>
                <w:rFonts w:hint="eastAsia" w:ascii="Times New Roman" w:hAnsi="Times New Roman" w:eastAsia="仿宋_GB2312" w:cs="Times New Roman"/>
                <w:color w:val="000000"/>
                <w:sz w:val="20"/>
                <w:szCs w:val="20"/>
                <w:lang w:eastAsia="zh-CN"/>
              </w:rPr>
              <w:t>区文化旅游广电局</w:t>
            </w:r>
          </w:p>
        </w:tc>
      </w:tr>
      <w:tr>
        <w:tblPrEx>
          <w:tblCellMar>
            <w:top w:w="0" w:type="dxa"/>
            <w:left w:w="108" w:type="dxa"/>
            <w:bottom w:w="0" w:type="dxa"/>
            <w:right w:w="108" w:type="dxa"/>
          </w:tblCellMar>
        </w:tblPrEx>
        <w:trPr>
          <w:jc w:val="center"/>
        </w:trPr>
        <w:tc>
          <w:tcPr>
            <w:tcW w:w="94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29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94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29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94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29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94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29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4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29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4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99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390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94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99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推进文化市场工作</w:t>
            </w:r>
          </w:p>
        </w:tc>
        <w:tc>
          <w:tcPr>
            <w:tcW w:w="390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推进文化市场工作</w:t>
            </w:r>
          </w:p>
        </w:tc>
      </w:tr>
      <w:tr>
        <w:tblPrEx>
          <w:tblCellMar>
            <w:top w:w="0" w:type="dxa"/>
            <w:left w:w="108" w:type="dxa"/>
            <w:bottom w:w="0" w:type="dxa"/>
            <w:right w:w="108" w:type="dxa"/>
          </w:tblCellMar>
        </w:tblPrEx>
        <w:trPr>
          <w:jc w:val="center"/>
        </w:trPr>
        <w:tc>
          <w:tcPr>
            <w:tcW w:w="944"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9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23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1、登记在册文化市场企业</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53 个</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53 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3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2、加强网吧专项整治，有效控制未</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成年人进入网吧；开展日常巡查、</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文化执法专项行动和“扫黄打非”工作。</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≥2544 次</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≥2544 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570" w:hRule="atLeast"/>
          <w:jc w:val="center"/>
        </w:trPr>
        <w:tc>
          <w:tcPr>
            <w:tcW w:w="9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切实维护国家文化和意识形态安全。深入开展以</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保护未成年人健康成长为主要内容的文化环保</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工程，营造健康和谐的社会文化氛</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围。</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1295" w:hRule="atLeast"/>
          <w:jc w:val="center"/>
        </w:trPr>
        <w:tc>
          <w:tcPr>
            <w:tcW w:w="9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文化市场巡查按期实行</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 xml:space="preserve"> 年 12</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月底前</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年 12月底前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文化市场巡查成本</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 万元</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2 </w:t>
            </w:r>
            <w:r>
              <w:rPr>
                <w:rFonts w:hint="eastAsia" w:ascii="Times New Roman" w:hAnsi="Times New Roman" w:eastAsia="仿宋_GB2312" w:cs="Times New Roman"/>
                <w:color w:val="000000"/>
                <w:sz w:val="20"/>
                <w:szCs w:val="20"/>
                <w:lang w:val="en-US" w:eastAsia="zh-CN"/>
              </w:rPr>
              <w:t>万</w:t>
            </w:r>
            <w:r>
              <w:rPr>
                <w:rFonts w:hint="default" w:ascii="Times New Roman" w:hAnsi="Times New Roman" w:eastAsia="仿宋_GB2312" w:cs="Times New Roman"/>
                <w:color w:val="000000"/>
                <w:sz w:val="20"/>
                <w:szCs w:val="20"/>
              </w:rPr>
              <w:t>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文化市场秩序稳定、安全，无恶性</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竞争，促进经济增长</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≥200 万</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≥200 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文化市场监管做到全覆盖，切实维</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护国家文化</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和意识形态安全，营造健康和谐的</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社会文化氛围，提高文化软实力。</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3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净化文化市场生态环境，维护文化市场生态环境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安全</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3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做到有法可依，有法必依，执法必</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严，违法必究，提高文化执法水平；</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推动文化产业发展，满足人民过上</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美好生活的新需求。</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长期</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长期</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6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231"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7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群众对文化市场满意度</w:t>
            </w:r>
          </w:p>
        </w:tc>
        <w:tc>
          <w:tcPr>
            <w:tcW w:w="9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pStyle w:val="2"/>
        <w:rPr>
          <w:rFonts w:hint="default" w:ascii="Times New Roman" w:hAnsi="Times New Roman" w:eastAsia="仿宋_GB2312" w:cs="Times New Roman"/>
          <w:sz w:val="22"/>
          <w:szCs w:val="22"/>
        </w:rPr>
      </w:pPr>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2-2</w:t>
      </w:r>
    </w:p>
    <w:p>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文物保护工作经费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区文化旅游广电局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区文化旅游广电局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2024年全区文物保护巡查经费，推进文物保护工作，确保文物无损害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2024年全区文物保护巡查经费，推进文物保护工作，确保文物无损害</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签订文物保</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护协议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 个</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 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确保文物安</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文物保护巡</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每月巡查一次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每月巡查一次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文物保护成本</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3 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3 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文物开发推</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动文化旅游,带动周边经济发展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≥50 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≥50 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扩大文物保护意识,推动文化旅游事业发展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持续提高社会公众的历史文化素养,推动生态平衡发展.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加深人民对</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本地文化归</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属感，提升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文化自信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长期</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群众对历史文物满意度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pPr>
        <w:pStyle w:val="2"/>
        <w:rPr>
          <w:rFonts w:hint="default" w:ascii="Times New Roman" w:hAnsi="Times New Roman" w:eastAsia="仿宋_GB2312" w:cs="Times New Roman"/>
          <w:sz w:val="22"/>
          <w:szCs w:val="22"/>
        </w:rPr>
      </w:pPr>
    </w:p>
    <w:p>
      <w:pPr>
        <w:widowControl/>
        <w:spacing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2-3</w:t>
      </w:r>
    </w:p>
    <w:p>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sz w:val="20"/>
                <w:szCs w:val="20"/>
                <w:lang w:val="en-US" w:eastAsia="zh-CN"/>
              </w:rPr>
              <w:t>文物树立标志经费</w:t>
            </w: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区文化旅游广电局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区文化旅游广电局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扩大文物保护意识，推动文化旅游事业发展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扩大文物保护意识，推动文化旅游事业发展</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签订文物保</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护协议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 个</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 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确保文物安</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文物保护巡</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文物保护巡查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文物保护巡查</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文物保护成本</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r>
              <w:rPr>
                <w:rFonts w:hint="default" w:ascii="Times New Roman" w:hAnsi="Times New Roman" w:eastAsia="仿宋_GB2312" w:cs="Times New Roman"/>
                <w:color w:val="000000"/>
                <w:sz w:val="20"/>
                <w:szCs w:val="20"/>
              </w:rPr>
              <w:t xml:space="preserve"> 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r>
              <w:rPr>
                <w:rFonts w:hint="default" w:ascii="Times New Roman" w:hAnsi="Times New Roman" w:eastAsia="仿宋_GB2312" w:cs="Times New Roman"/>
                <w:color w:val="000000"/>
                <w:sz w:val="20"/>
                <w:szCs w:val="20"/>
              </w:rPr>
              <w:t xml:space="preserve"> 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文物开发推</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动文化旅游,带动周边经济发展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≥50 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≥50 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扩大文物保护意识,推动文化旅游事业发展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1</w:t>
            </w:r>
            <w:r>
              <w:rPr>
                <w:rFonts w:hint="eastAsia" w:ascii="Times New Roman" w:hAnsi="Times New Roman" w:eastAsia="仿宋_GB2312" w:cs="Times New Roman"/>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持续提高社会公众的历史文化素养,推动生态平衡发展.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加深人民对</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本地文化归</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属感，提升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文化自信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长期</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群众对历史文物满意度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pPr>
        <w:pStyle w:val="2"/>
        <w:rPr>
          <w:rFonts w:hint="eastAsia"/>
          <w:lang w:eastAsia="zh-CN"/>
        </w:rPr>
      </w:pPr>
    </w:p>
    <w:p>
      <w:pPr>
        <w:pStyle w:val="2"/>
        <w:rPr>
          <w:rFonts w:hint="default" w:ascii="Times New Roman" w:hAnsi="Times New Roman" w:eastAsia="仿宋_GB2312" w:cs="Times New Roman"/>
          <w:sz w:val="22"/>
          <w:szCs w:val="22"/>
        </w:rPr>
      </w:pPr>
    </w:p>
    <w:p>
      <w:pPr>
        <w:widowControl/>
        <w:spacing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2-4</w:t>
      </w:r>
    </w:p>
    <w:p>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851" w:type="dxa"/>
        <w:jc w:val="center"/>
        <w:tblLayout w:type="fixed"/>
        <w:tblCellMar>
          <w:top w:w="0" w:type="dxa"/>
          <w:left w:w="108" w:type="dxa"/>
          <w:bottom w:w="0" w:type="dxa"/>
          <w:right w:w="108" w:type="dxa"/>
        </w:tblCellMar>
      </w:tblPr>
      <w:tblGrid>
        <w:gridCol w:w="1080"/>
        <w:gridCol w:w="621"/>
        <w:gridCol w:w="1214"/>
        <w:gridCol w:w="2713"/>
        <w:gridCol w:w="723"/>
        <w:gridCol w:w="791"/>
        <w:gridCol w:w="750"/>
        <w:gridCol w:w="927"/>
        <w:gridCol w:w="1032"/>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sz w:val="20"/>
                <w:szCs w:val="20"/>
                <w:lang w:val="en-US" w:eastAsia="zh-CN"/>
              </w:rPr>
              <w:t>对口帮扶保靖县选派干部经费</w:t>
            </w: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52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区文化旅游广电局</w:t>
            </w:r>
          </w:p>
        </w:tc>
        <w:tc>
          <w:tcPr>
            <w:tcW w:w="79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70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区文化旅游广电局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18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7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8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6.2</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6.2</w:t>
            </w:r>
          </w:p>
        </w:tc>
        <w:tc>
          <w:tcPr>
            <w:tcW w:w="7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sz w:val="20"/>
                <w:szCs w:val="20"/>
                <w:lang w:val="en-US" w:eastAsia="zh-CN"/>
              </w:rPr>
              <w:t>5.7017</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91.96%</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9.1</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8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6.2</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6.2</w:t>
            </w:r>
          </w:p>
        </w:tc>
        <w:tc>
          <w:tcPr>
            <w:tcW w:w="7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sz w:val="20"/>
                <w:szCs w:val="20"/>
                <w:lang w:val="en-US" w:eastAsia="zh-CN"/>
              </w:rPr>
              <w:t>5.7017</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91.96%</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8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8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527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350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527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充分发挥文旅干部优势，全力服务当地文化旅游经济需求，促进文旅事业发展　</w:t>
            </w:r>
          </w:p>
        </w:tc>
        <w:tc>
          <w:tcPr>
            <w:tcW w:w="350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充分发挥文旅干部优势，全力服务当地文化旅游经济需求，促进文旅事业发展</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6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2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7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62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2023年3月陆水明通知受区党委指派到保靖县清水坪镇挂职。按照《岳阳市乡镇振兴对口帮扶保靖县选派干部人才管理办法》要求，文化旅游广电局选派一名干部</w:t>
            </w:r>
          </w:p>
        </w:tc>
        <w:tc>
          <w:tcPr>
            <w:tcW w:w="7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7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0</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0</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6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充分发挥文旅干部优势，全力服务当地文化旅游经济需求，促进文旅事业发展</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7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6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对口帮扶保靖县选派干部挂职</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2024年12月31日前</w:t>
            </w:r>
          </w:p>
        </w:tc>
        <w:tc>
          <w:tcPr>
            <w:tcW w:w="7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2024年12月31日前</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6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对口帮扶</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7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62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充分发挥自身优势全力服务地方经济需求，促进地方转型升级。</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7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6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深化了友谊，搭建了良性互动平台。在信息上互通情报、资源共享；在项目上互惠互利，共同开发，实现“双赢”；在优势上实行“互补”，利用保靖资源、投资环境等优势与发达地区的信息、技术、观念、资金以及管理经验的优势，强强联合；在友谊上加强感情联络。</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7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6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增长了阅历，拓宽了眼界。阅历就是财富，见多自然识广。机关干部到基层挂职锻炼，贴近百姓，了解民情，听懂了群众声音，学会了群众语言，这对于补齐机关中“三门”干部的短板意义重大、势在必行，有助于接好地气。更好地理解和落实上层的路线方针政策。</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7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62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大政策宣传力度，进一步优化干部交流的社会舆论环境。解决思想认识问题是搞好干部交流工作的基础。要通过多种途径，大力宣传干部交流的重要意义，在领导干部中开展服从大局、乐于奉献精神的教育使干部交流政策得到广大干部群众的理解和支持，为交流干部施展才华、开拓进取、干事创业提供一个良好的环境，这种挂职锻炼可持续发展。</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长期</w:t>
            </w: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长期</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621"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27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通过对口帮扶选派的干部，让人民群众看到了我们党需要具备良好的职责心和使命感不断修身和建功的干部，能发挥统筹协调和创新思维的能力，以敬业和奉献的精神为基础，不断提升自己的专业技能和素质，为企业和组织带来更大的价值和发展的人。</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92%</w:t>
            </w:r>
          </w:p>
        </w:tc>
        <w:tc>
          <w:tcPr>
            <w:tcW w:w="7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92%</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14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99.1</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pPr>
        <w:pStyle w:val="2"/>
        <w:rPr>
          <w:rFonts w:hint="eastAsia"/>
          <w:lang w:val="en-US" w:eastAsia="zh-CN"/>
        </w:rPr>
      </w:pPr>
    </w:p>
    <w:p>
      <w:pPr>
        <w:pStyle w:val="2"/>
        <w:rPr>
          <w:rFonts w:hint="default" w:ascii="Times New Roman" w:hAnsi="Times New Roman" w:eastAsia="仿宋_GB2312" w:cs="Times New Roman"/>
          <w:sz w:val="22"/>
          <w:szCs w:val="22"/>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FF54B5-A9F4-40AC-8D43-AB5E3FBBB7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D862E0-906A-4381-A1E5-0C8D65BDE839}"/>
  </w:font>
  <w:font w:name="方正小标宋_GBK">
    <w:panose1 w:val="02000000000000000000"/>
    <w:charset w:val="86"/>
    <w:family w:val="script"/>
    <w:pitch w:val="default"/>
    <w:sig w:usb0="A00002BF" w:usb1="38CF7CFA" w:usb2="00082016" w:usb3="00000000" w:csb0="00040001" w:csb1="00000000"/>
    <w:embedRegular r:id="rId3" w:fontKey="{F4CE8982-3ADA-424B-911A-6A0967096245}"/>
  </w:font>
  <w:font w:name="方正小标宋简体">
    <w:panose1 w:val="02000000000000000000"/>
    <w:charset w:val="86"/>
    <w:family w:val="auto"/>
    <w:pitch w:val="default"/>
    <w:sig w:usb0="A00002BF" w:usb1="184F6CFA" w:usb2="00000012" w:usb3="00000000" w:csb0="00040001" w:csb1="00000000"/>
    <w:embedRegular r:id="rId4" w:fontKey="{759E00ED-61C9-4C72-B8EC-3DC401D857DD}"/>
  </w:font>
  <w:font w:name="楷体_GB2312">
    <w:altName w:val="楷体"/>
    <w:panose1 w:val="02010609030101010101"/>
    <w:charset w:val="86"/>
    <w:family w:val="modern"/>
    <w:pitch w:val="default"/>
    <w:sig w:usb0="00000000" w:usb1="00000000" w:usb2="00000000" w:usb3="00000000" w:csb0="00040000" w:csb1="00000000"/>
    <w:embedRegular r:id="rId5" w:fontKey="{7EB79D8B-5C7D-45FE-86A3-8D7B97766379}"/>
  </w:font>
  <w:font w:name="仿宋_GB2312">
    <w:altName w:val="仿宋"/>
    <w:panose1 w:val="02010609030101010101"/>
    <w:charset w:val="86"/>
    <w:family w:val="modern"/>
    <w:pitch w:val="default"/>
    <w:sig w:usb0="00000000" w:usb1="00000000" w:usb2="00000000" w:usb3="00000000" w:csb0="00040000" w:csb1="00000000"/>
    <w:embedRegular r:id="rId6" w:fontKey="{3E2DE6BB-6627-4503-9459-3F77CCAFF82C}"/>
  </w:font>
  <w:font w:name="仿宋">
    <w:panose1 w:val="02010609060101010101"/>
    <w:charset w:val="86"/>
    <w:family w:val="auto"/>
    <w:pitch w:val="default"/>
    <w:sig w:usb0="800002BF" w:usb1="38CF7CFA" w:usb2="00000016" w:usb3="00000000" w:csb0="00040001" w:csb1="00000000"/>
    <w:embedRegular r:id="rId7" w:fontKey="{2B251202-8F7F-4E87-90DB-F1313C9F6087}"/>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02106"/>
    <w:multiLevelType w:val="singleLevel"/>
    <w:tmpl w:val="93F02106"/>
    <w:lvl w:ilvl="0" w:tentative="0">
      <w:start w:val="8"/>
      <w:numFmt w:val="chineseCounting"/>
      <w:suff w:val="nothing"/>
      <w:lvlText w:val="%1、"/>
      <w:lvlJc w:val="left"/>
      <w:rPr>
        <w:rFonts w:hint="eastAsia"/>
      </w:rPr>
    </w:lvl>
  </w:abstractNum>
  <w:abstractNum w:abstractNumId="1">
    <w:nsid w:val="C14B507B"/>
    <w:multiLevelType w:val="singleLevel"/>
    <w:tmpl w:val="C14B507B"/>
    <w:lvl w:ilvl="0" w:tentative="0">
      <w:start w:val="2"/>
      <w:numFmt w:val="chineseCounting"/>
      <w:suff w:val="nothing"/>
      <w:lvlText w:val="（%1）"/>
      <w:lvlJc w:val="left"/>
      <w:rPr>
        <w:rFonts w:hint="eastAsia"/>
      </w:rPr>
    </w:lvl>
  </w:abstractNum>
  <w:abstractNum w:abstractNumId="2">
    <w:nsid w:val="4F04A5DC"/>
    <w:multiLevelType w:val="singleLevel"/>
    <w:tmpl w:val="4F04A5D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ZmFiYWZmZWQxNjA3N2U3NmVlNmM1YWMyOGRmMGQifQ=="/>
  </w:docVars>
  <w:rsids>
    <w:rsidRoot w:val="170812E0"/>
    <w:rsid w:val="00BC57CD"/>
    <w:rsid w:val="0367457B"/>
    <w:rsid w:val="09CD27F9"/>
    <w:rsid w:val="0F3A2F03"/>
    <w:rsid w:val="12DB2B88"/>
    <w:rsid w:val="170812E0"/>
    <w:rsid w:val="19B105C1"/>
    <w:rsid w:val="22E252FC"/>
    <w:rsid w:val="29537CE0"/>
    <w:rsid w:val="2B206808"/>
    <w:rsid w:val="2CD4199C"/>
    <w:rsid w:val="3117323C"/>
    <w:rsid w:val="3EF21442"/>
    <w:rsid w:val="45B12194"/>
    <w:rsid w:val="4B9A1834"/>
    <w:rsid w:val="575129DC"/>
    <w:rsid w:val="5CAB5675"/>
    <w:rsid w:val="62886543"/>
    <w:rsid w:val="67770DE5"/>
    <w:rsid w:val="6C07661A"/>
    <w:rsid w:val="6C4C61D1"/>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List Paragraph"/>
    <w:basedOn w:val="1"/>
    <w:qFormat/>
    <w:uiPriority w:val="99"/>
    <w:pPr>
      <w:ind w:firstLine="420" w:firstLineChars="200"/>
    </w:pPr>
    <w:rPr>
      <w:rFonts w:ascii="Calibri" w:hAnsi="Calibri"/>
      <w:szCs w:val="22"/>
    </w:rPr>
  </w:style>
  <w:style w:type="paragraph" w:customStyle="1" w:styleId="6">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1939</Words>
  <Characters>1992</Characters>
  <Lines>0</Lines>
  <Paragraphs>0</Paragraphs>
  <TotalTime>3</TotalTime>
  <ScaleCrop>false</ScaleCrop>
  <LinksUpToDate>false</LinksUpToDate>
  <CharactersWithSpaces>2009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徐爽</cp:lastModifiedBy>
  <dcterms:modified xsi:type="dcterms:W3CDTF">2025-11-04T03:02:11Z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FF14FDDE335D4B208B01C4A3F010C8E0_13</vt:lpwstr>
  </property>
</Properties>
</file>