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72"/>
          <w:szCs w:val="72"/>
          <w:lang w:val="en-US" w:eastAsia="zh-CN"/>
        </w:rPr>
        <w:t>屈原管理区教育体育局</w:t>
      </w:r>
      <w:r>
        <w:rPr>
          <w:rFonts w:hint="eastAsia" w:ascii="方正小标宋_GBK" w:hAnsi="方正小标宋_GBK" w:eastAsia="方正小标宋_GBK" w:cs="方正小标宋_GBK"/>
          <w:sz w:val="72"/>
          <w:szCs w:val="72"/>
          <w:lang w:eastAsia="zh-CN"/>
        </w:rPr>
        <w:t>（</w:t>
      </w:r>
      <w:r>
        <w:rPr>
          <w:rFonts w:hint="eastAsia" w:ascii="方正小标宋_GBK" w:hAnsi="方正小标宋_GBK" w:eastAsia="方正小标宋_GBK" w:cs="方正小标宋_GBK"/>
          <w:sz w:val="72"/>
          <w:szCs w:val="72"/>
          <w:lang w:val="en-US" w:eastAsia="zh-CN"/>
        </w:rPr>
        <w:t>本级）</w:t>
      </w:r>
      <w:r>
        <w:rPr>
          <w:rFonts w:hint="eastAsia" w:ascii="方正小标宋_GBK" w:hAnsi="方正小标宋_GBK" w:eastAsia="方正小标宋_GBK" w:cs="方正小标宋_GBK"/>
          <w:sz w:val="84"/>
          <w:szCs w:val="84"/>
        </w:rPr>
        <w:t>部门决算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1062A3B4">
      <w:pPr>
        <w:pStyle w:val="13"/>
        <w:jc w:val="center"/>
        <w:rPr>
          <w:sz w:val="32"/>
          <w:szCs w:val="32"/>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屈原管理区教育体育局</w:t>
      </w:r>
      <w:r>
        <w:rPr>
          <w:rFonts w:hint="eastAsia" w:hAnsi="黑体" w:cs="黑体"/>
          <w:b w:val="0"/>
          <w:bCs/>
          <w:sz w:val="28"/>
          <w:szCs w:val="28"/>
          <w:lang w:eastAsia="zh-CN"/>
        </w:rPr>
        <w:t>（</w:t>
      </w:r>
      <w:r>
        <w:rPr>
          <w:rFonts w:hint="eastAsia" w:hAnsi="黑体" w:cs="黑体"/>
          <w:b w:val="0"/>
          <w:bCs/>
          <w:sz w:val="28"/>
          <w:szCs w:val="28"/>
          <w:lang w:val="en-US" w:eastAsia="zh-CN"/>
        </w:rPr>
        <w:t>本级）</w:t>
      </w:r>
      <w:r>
        <w:rPr>
          <w:rFonts w:hint="eastAsia" w:ascii="黑体" w:hAnsi="黑体" w:eastAsia="黑体" w:cs="黑体"/>
          <w:b w:val="0"/>
          <w:bCs/>
          <w:sz w:val="28"/>
          <w:szCs w:val="28"/>
        </w:rPr>
        <w:t>单位概况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282D3073">
      <w:pPr>
        <w:pStyle w:val="13"/>
        <w:jc w:val="center"/>
        <w:rPr>
          <w:rFonts w:hint="default" w:ascii="方正小标宋_GBK" w:hAnsi="方正小标宋_GBK" w:eastAsia="方正小标宋_GBK" w:cs="方正小标宋_GBK"/>
          <w:sz w:val="72"/>
          <w:szCs w:val="72"/>
          <w:lang w:val="en-US" w:eastAsia="zh-CN"/>
        </w:rPr>
      </w:pPr>
      <w:r>
        <w:rPr>
          <w:rFonts w:hint="eastAsia" w:ascii="方正小标宋_GBK" w:hAnsi="方正小标宋_GBK" w:eastAsia="方正小标宋_GBK" w:cs="方正小标宋_GBK"/>
          <w:sz w:val="72"/>
          <w:szCs w:val="72"/>
          <w:lang w:val="en-US" w:eastAsia="zh-CN"/>
        </w:rPr>
        <w:t>屈原管理区教育体育局(本级)</w:t>
      </w: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28BB36E8">
      <w:pPr>
        <w:pStyle w:val="14"/>
        <w:numPr>
          <w:ilvl w:val="0"/>
          <w:numId w:val="0"/>
        </w:numPr>
        <w:ind w:leftChars="0"/>
        <w:jc w:val="left"/>
        <w:rPr>
          <w:rFonts w:hint="eastAsia" w:ascii="黑体" w:hAnsi="黑体" w:eastAsia="黑体" w:cs="黑体"/>
          <w:b w:val="0"/>
          <w:bCs w:val="0"/>
          <w:sz w:val="32"/>
          <w:szCs w:val="32"/>
        </w:rPr>
      </w:pPr>
    </w:p>
    <w:p w14:paraId="55E857AF">
      <w:pPr>
        <w:pStyle w:val="14"/>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10420D8">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w:t>
      </w:r>
      <w:r>
        <w:rPr>
          <w:rFonts w:hint="eastAsia" w:ascii="Times New Roman" w:hAnsi="Times New Roman" w:eastAsia="仿宋_GB2312" w:cs="仿宋_GB2312"/>
          <w:kern w:val="0"/>
          <w:sz w:val="32"/>
          <w:szCs w:val="32"/>
        </w:rPr>
        <w:t>贯彻落实国家、省关于教育体育工作的法律、法规和方针政策，统筹规划和协调管理全区各级各类教育体育事业，负责拟订全区教育体育事业发展战略和规划、实施办法、年度计划和体制改革方案，并组织实施。指导教育教学研究和改革，负责教育体育基本信息的统计、分析和发布，指导全区教育体育系统精神文明建设工作；</w:t>
      </w:r>
    </w:p>
    <w:p w14:paraId="10A6E264">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（二）</w:t>
      </w:r>
      <w:r>
        <w:rPr>
          <w:rFonts w:hint="eastAsia" w:ascii="Times New Roman" w:hAnsi="Times New Roman" w:eastAsia="仿宋_GB2312" w:cs="仿宋_GB2312"/>
          <w:kern w:val="0"/>
          <w:sz w:val="32"/>
          <w:szCs w:val="32"/>
        </w:rPr>
        <w:t>负责全区基础教育宏观指导与协调，指导基础教育课程改革、教学改革和教学管理。推进义务教育均衡发展，促进教育公平，保障素质教育的全面实施和教育质量提高。组织审定基础教育教材和教辅用书。指导基础教育年度招生工作，制订学校招生考试政策。负责全区基础教育阶段学籍学历管理。直接管理学校教育教学工作；</w:t>
      </w:r>
    </w:p>
    <w:p w14:paraId="0BB5398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加强民办教育的统筹规划、综合协调和宏观管理，完善民办教育宏观管理的政策措施，规范民办学校办学行为；</w:t>
      </w:r>
    </w:p>
    <w:p w14:paraId="54C312D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负责制订学前教育发展规划、扶持政策，会同有关部门组织实施；指导全区实施普及学前三年教育；规划、指导全区公办幼儿园建设和普惠性民办幼儿园建设；规范民办幼儿园办园行为；指导学前教育机构进行教育教学改革；</w:t>
      </w:r>
    </w:p>
    <w:p w14:paraId="4DD1307A">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统筹管理本部门教育体育经费；参与拟订全区教育体育经费筹措、教育体育拨款、教育体育基建投资政策；负责统计和监测全区教育体育经费的投入和使用情况；指导、管理全区资助经济困难学生工作；指导和组织实施教育体育系统内部审计工作；</w:t>
      </w:r>
    </w:p>
    <w:p w14:paraId="255D8716">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指导各级各类学校的思想政治工作、德育工作、艺术教育以及国防教育、人口与计划生育工作；指导本系统党建、宣传、统战和群团工作；会同有关部门指导全区家庭教育和社区教育；组织、指导、协调全区教育体育系统综合治理和安全稳定工作；</w:t>
      </w:r>
    </w:p>
    <w:p w14:paraId="282D039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七</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主管全区教师和体育从业人员工作。协助有关部门制订全区教育体育系统有关劳动工资、人事管理方面的规章制度并组织实施，会同有关部门指导教育体育系统人才队伍建设工作；</w:t>
      </w:r>
    </w:p>
    <w:p w14:paraId="6EE66B9E">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八</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负责全区教育招生考试和高、初中学业水平考试；指导和管理全市中小学生学籍，编制高中阶段教育招生计划；</w:t>
      </w:r>
    </w:p>
    <w:p w14:paraId="0547BBA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九</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组织、指导全区教育督导工作。负责对本级人民政府有关部门和县级政府的教育工作以及中等及以下各级各类教育机构的教育教学工作进行监督、检查、评估、指导；</w:t>
      </w:r>
    </w:p>
    <w:p w14:paraId="2EFE3BE7">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统筹管理全区语言文字工作，制订全区语言文字规划并组织实施，指导推广普通话和规范汉字工作；</w:t>
      </w:r>
    </w:p>
    <w:p w14:paraId="7D8ADABB">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十一</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按照干部管理权限和程序，考察和管理事业单位和学校领导班子和领导干部。指导各学校的干部思想教育及有关培训工作；</w:t>
      </w:r>
    </w:p>
    <w:p w14:paraId="15C7380F">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十二</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负责全区各级各类学校勤工俭学、电教仪器装备、教育信息技术教育和信息化建设、管理工作；</w:t>
      </w:r>
    </w:p>
    <w:p w14:paraId="3AB0BD1C">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十三</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贯彻落实《全民健身条例》，指导开展群众性体育活动。实施《国家体育锻炼标准》，开展国民体质监测；负责本级社会体育指导员的业务培训和登记申报、核准工作，指导全区公共体育设施的建设，负责全区公共体育设施的监督管理，负责全区社会体育团体指导和管理，负责高危性体育项目许可工作；</w:t>
      </w:r>
    </w:p>
    <w:p w14:paraId="2B978505">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十四</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制订全区竞技体育、青少年体育事业发展规划、工作计划和管理制度，并监督指导实施；组织开展全区综合性青少年体育竞赛，组团（队）参加全国、全省综合性运动会或单项青少年体育竞赛；指导管理全区青少年业余训练和体育后备人才培养工作，指导全区各级各类体育运动学校、体育传统项目学校、青少年体育俱乐部、体育后备人才培养基地建设工作；</w:t>
      </w:r>
    </w:p>
    <w:p w14:paraId="0878B2EF">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十五</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拟订体育产业发展规划、政策，发展体育市场，规范体育服务管理，推动体育标准化建设，负责体育彩票管理；</w:t>
      </w:r>
    </w:p>
    <w:p w14:paraId="4B227DCC">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十六</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负责组织开展全区各类老年体育健身活动；</w:t>
      </w:r>
    </w:p>
    <w:p w14:paraId="4C3EB469">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十七</w:t>
      </w:r>
      <w:r>
        <w:rPr>
          <w:rFonts w:hint="eastAsia" w:ascii="Times New Roman" w:hAnsi="Times New Roman" w:eastAsia="仿宋_GB2312" w:cs="仿宋_GB2312"/>
          <w:sz w:val="32"/>
          <w:szCs w:val="32"/>
        </w:rPr>
        <w:t>）</w:t>
      </w:r>
      <w:r>
        <w:rPr>
          <w:rFonts w:hint="eastAsia" w:ascii="Times New Roman" w:hAnsi="Times New Roman" w:eastAsia="仿宋_GB2312" w:cs="仿宋_GB2312"/>
          <w:kern w:val="0"/>
          <w:sz w:val="32"/>
          <w:szCs w:val="32"/>
        </w:rPr>
        <w:t>承办区委、区人民政府交办的其他事项。</w:t>
      </w:r>
    </w:p>
    <w:p w14:paraId="2DC82B10">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0A96E8FD">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w:t>
      </w:r>
    </w:p>
    <w:p w14:paraId="6D5778A5">
      <w:pPr>
        <w:widowControl/>
        <w:spacing w:line="600" w:lineRule="exact"/>
        <w:ind w:firstLine="640" w:firstLineChars="200"/>
        <w:rPr>
          <w:rFonts w:hint="eastAsia" w:ascii="Times New Roman" w:hAnsi="Times New Roman" w:eastAsia="仿宋_GB2312" w:cs="仿宋_GB2312"/>
          <w:bCs/>
          <w:kern w:val="0"/>
          <w:sz w:val="32"/>
          <w:szCs w:val="32"/>
          <w:lang w:val="en-US" w:eastAsia="zh-CN" w:bidi="ar-SA"/>
        </w:rPr>
      </w:pPr>
      <w:r>
        <w:rPr>
          <w:rFonts w:hint="eastAsia" w:ascii="Times New Roman" w:hAnsi="Times New Roman" w:eastAsia="仿宋_GB2312" w:cs="仿宋_GB2312"/>
          <w:bCs/>
          <w:kern w:val="0"/>
          <w:sz w:val="32"/>
          <w:szCs w:val="32"/>
        </w:rPr>
        <w:t>屈原管理区教育体育局内设机构包括：</w:t>
      </w:r>
      <w:r>
        <w:rPr>
          <w:rFonts w:hint="eastAsia" w:ascii="Times New Roman" w:hAnsi="Times New Roman" w:eastAsia="仿宋_GB2312" w:cs="仿宋_GB2312"/>
          <w:kern w:val="0"/>
          <w:sz w:val="32"/>
          <w:szCs w:val="32"/>
          <w:lang w:val="en-US" w:eastAsia="zh-CN" w:bidi="ar-SA"/>
        </w:rPr>
        <w:t>根据编委核定，一个局机关、内设股室2个(岳阳市屈原管理区教研室、岳阳市屈原管理区体育和社会事业服务中心)；所属二级预算单位6个(屈原一中、屈原一小、屈原二小、河市镇学校、凤凰乡学校、营田镇学校 )。</w:t>
      </w:r>
    </w:p>
    <w:p w14:paraId="327B92C4">
      <w:pPr>
        <w:widowControl/>
        <w:numPr>
          <w:ilvl w:val="0"/>
          <w:numId w:val="2"/>
        </w:numPr>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决算单位构成。</w:t>
      </w:r>
    </w:p>
    <w:p w14:paraId="23E48052">
      <w:pPr>
        <w:widowControl/>
        <w:numPr>
          <w:ilvl w:val="0"/>
          <w:numId w:val="0"/>
        </w:numPr>
        <w:spacing w:line="600" w:lineRule="exact"/>
        <w:ind w:firstLine="640" w:firstLineChars="200"/>
        <w:rPr>
          <w:rFonts w:hint="default" w:ascii="Times New Roman" w:hAnsi="Times New Roman" w:eastAsia="仿宋_GB2312" w:cs="仿宋_GB2312"/>
          <w:bCs/>
          <w:kern w:val="0"/>
          <w:sz w:val="32"/>
          <w:szCs w:val="32"/>
          <w:lang w:val="en-US"/>
        </w:rPr>
      </w:pPr>
      <w:r>
        <w:rPr>
          <w:rFonts w:hint="eastAsia" w:ascii="Times New Roman" w:hAnsi="Times New Roman" w:eastAsia="仿宋_GB2312" w:cs="仿宋_GB2312"/>
          <w:bCs/>
          <w:kern w:val="0"/>
          <w:sz w:val="32"/>
          <w:szCs w:val="32"/>
        </w:rPr>
        <w:t>屈原管理区教育体育局</w:t>
      </w:r>
      <w:r>
        <w:rPr>
          <w:rFonts w:hint="eastAsia" w:ascii="Times New Roman" w:hAnsi="Times New Roman" w:eastAsia="仿宋_GB2312" w:cs="仿宋_GB2312"/>
          <w:bCs/>
          <w:kern w:val="0"/>
          <w:sz w:val="32"/>
          <w:szCs w:val="32"/>
          <w:lang w:eastAsia="zh-CN"/>
        </w:rPr>
        <w:t>（</w:t>
      </w:r>
      <w:r>
        <w:rPr>
          <w:rFonts w:hint="eastAsia" w:ascii="Times New Roman" w:hAnsi="Times New Roman" w:eastAsia="仿宋_GB2312" w:cs="仿宋_GB2312"/>
          <w:bCs/>
          <w:kern w:val="0"/>
          <w:sz w:val="32"/>
          <w:szCs w:val="32"/>
          <w:lang w:val="en-US" w:eastAsia="zh-CN"/>
        </w:rPr>
        <w:t>本级）</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年部门决算汇总公开单位构成包括：屈原管理区教育体育局</w:t>
      </w:r>
      <w:r>
        <w:rPr>
          <w:rFonts w:hint="eastAsia" w:ascii="Times New Roman" w:hAnsi="Times New Roman" w:eastAsia="仿宋_GB2312" w:cs="仿宋_GB2312"/>
          <w:bCs/>
          <w:kern w:val="0"/>
          <w:sz w:val="32"/>
          <w:szCs w:val="32"/>
          <w:lang w:val="en-US" w:eastAsia="zh-CN"/>
        </w:rPr>
        <w:t>机关外,还</w:t>
      </w:r>
      <w:r>
        <w:rPr>
          <w:rFonts w:hint="eastAsia" w:ascii="Times New Roman" w:hAnsi="Times New Roman" w:eastAsia="仿宋_GB2312" w:cs="仿宋_GB2312"/>
          <w:bCs/>
          <w:kern w:val="0"/>
          <w:sz w:val="32"/>
          <w:szCs w:val="32"/>
        </w:rPr>
        <w:t>包括所属二级</w:t>
      </w:r>
      <w:r>
        <w:rPr>
          <w:rFonts w:hint="eastAsia" w:ascii="Times New Roman" w:hAnsi="Times New Roman" w:eastAsia="仿宋_GB2312" w:cs="仿宋_GB2312"/>
          <w:bCs/>
          <w:kern w:val="0"/>
          <w:sz w:val="32"/>
          <w:szCs w:val="32"/>
          <w:lang w:val="en-US" w:eastAsia="zh-CN"/>
        </w:rPr>
        <w:t>机构</w:t>
      </w:r>
      <w:r>
        <w:rPr>
          <w:rFonts w:hint="eastAsia" w:ascii="Times New Roman" w:hAnsi="Times New Roman" w:eastAsia="仿宋_GB2312" w:cs="仿宋_GB2312"/>
          <w:bCs/>
          <w:kern w:val="0"/>
          <w:sz w:val="32"/>
          <w:szCs w:val="32"/>
        </w:rPr>
        <w:t>区教研室、区体育和社会事业服务中心</w:t>
      </w:r>
      <w:r>
        <w:rPr>
          <w:rFonts w:hint="eastAsia" w:ascii="Times New Roman" w:hAnsi="Times New Roman" w:eastAsia="仿宋_GB2312" w:cs="仿宋_GB2312"/>
          <w:bCs/>
          <w:kern w:val="0"/>
          <w:sz w:val="32"/>
          <w:szCs w:val="32"/>
          <w:lang w:val="en-US" w:eastAsia="zh-CN"/>
        </w:rPr>
        <w:t>。</w:t>
      </w:r>
    </w:p>
    <w:p w14:paraId="5B46B51E"/>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203BB86F">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325AF5B5">
      <w:pPr>
        <w:pStyle w:val="13"/>
        <w:jc w:val="center"/>
        <w:rPr>
          <w:rFonts w:hint="eastAsia" w:ascii="仿宋_GB2312" w:hAnsi="仿宋_GB2312" w:eastAsia="仿宋_GB2312" w:cs="仿宋_GB2312"/>
          <w:b w:val="0"/>
          <w:bCs w:val="0"/>
          <w:sz w:val="72"/>
          <w:szCs w:val="72"/>
          <w:lang w:eastAsia="zh-CN"/>
        </w:rPr>
      </w:pPr>
    </w:p>
    <w:p w14:paraId="5C65B646">
      <w:pPr>
        <w:pStyle w:val="13"/>
        <w:jc w:val="center"/>
        <w:rPr>
          <w:rFonts w:hint="eastAsia" w:ascii="仿宋_GB2312" w:hAnsi="仿宋_GB2312" w:eastAsia="仿宋_GB2312" w:cs="仿宋_GB2312"/>
          <w:b w:val="0"/>
          <w:bCs w:val="0"/>
          <w:sz w:val="72"/>
          <w:szCs w:val="72"/>
          <w:lang w:eastAsia="zh-CN"/>
        </w:rPr>
      </w:pPr>
    </w:p>
    <w:p w14:paraId="16539FBC">
      <w:pPr>
        <w:pStyle w:val="13"/>
        <w:jc w:val="center"/>
        <w:rPr>
          <w:rFonts w:hint="eastAsia" w:ascii="仿宋_GB2312" w:hAnsi="仿宋_GB2312" w:eastAsia="仿宋_GB2312" w:cs="仿宋_GB2312"/>
          <w:b w:val="0"/>
          <w:bCs w:val="0"/>
          <w:sz w:val="72"/>
          <w:szCs w:val="72"/>
          <w:lang w:eastAsia="zh-CN"/>
        </w:rPr>
      </w:pPr>
    </w:p>
    <w:p w14:paraId="4A3BC4BA">
      <w:pPr>
        <w:pStyle w:val="13"/>
        <w:jc w:val="center"/>
        <w:rPr>
          <w:rFonts w:hint="eastAsia" w:ascii="仿宋_GB2312" w:hAnsi="仿宋_GB2312" w:eastAsia="仿宋_GB2312" w:cs="仿宋_GB2312"/>
          <w:b w:val="0"/>
          <w:bCs w:val="0"/>
          <w:sz w:val="72"/>
          <w:szCs w:val="72"/>
          <w:lang w:eastAsia="zh-CN"/>
        </w:rPr>
      </w:pPr>
    </w:p>
    <w:p w14:paraId="62EA5E89">
      <w:pPr>
        <w:pStyle w:val="13"/>
        <w:jc w:val="center"/>
        <w:rPr>
          <w:rFonts w:hint="eastAsia" w:ascii="仿宋_GB2312" w:hAnsi="仿宋_GB2312" w:eastAsia="仿宋_GB2312" w:cs="仿宋_GB2312"/>
          <w:b w:val="0"/>
          <w:bCs w:val="0"/>
          <w:sz w:val="72"/>
          <w:szCs w:val="72"/>
          <w:lang w:eastAsia="zh-CN"/>
        </w:rPr>
      </w:pPr>
    </w:p>
    <w:p w14:paraId="22627542">
      <w:pPr>
        <w:pStyle w:val="13"/>
        <w:ind w:firstLine="3600" w:firstLineChars="500"/>
        <w:jc w:val="both"/>
        <w:rPr>
          <w:rFonts w:hint="eastAsia" w:ascii="方正小标宋_GBK" w:hAnsi="方正小标宋_GBK" w:eastAsia="方正小标宋_GBK" w:cs="方正小标宋_GBK"/>
          <w:sz w:val="72"/>
          <w:szCs w:val="72"/>
        </w:rPr>
      </w:pPr>
    </w:p>
    <w:p w14:paraId="0CFE6F9A">
      <w:pPr>
        <w:pStyle w:val="13"/>
        <w:ind w:firstLine="3600" w:firstLineChars="500"/>
        <w:jc w:val="both"/>
        <w:rPr>
          <w:rFonts w:hint="eastAsia" w:ascii="方正小标宋_GBK" w:hAnsi="方正小标宋_GBK" w:eastAsia="方正小标宋_GBK" w:cs="方正小标宋_GBK"/>
          <w:sz w:val="72"/>
          <w:szCs w:val="72"/>
        </w:rPr>
      </w:pPr>
    </w:p>
    <w:p w14:paraId="69B08681">
      <w:pPr>
        <w:pStyle w:val="13"/>
        <w:ind w:firstLine="3600" w:firstLineChars="500"/>
        <w:jc w:val="both"/>
        <w:rPr>
          <w:rFonts w:hint="eastAsia" w:ascii="方正小标宋_GBK" w:hAnsi="方正小标宋_GBK" w:eastAsia="方正小标宋_GBK" w:cs="方正小标宋_GBK"/>
          <w:sz w:val="72"/>
          <w:szCs w:val="72"/>
        </w:rPr>
      </w:pPr>
    </w:p>
    <w:p w14:paraId="1D0C3C74">
      <w:pPr>
        <w:pStyle w:val="13"/>
        <w:ind w:firstLine="3600" w:firstLineChars="500"/>
        <w:jc w:val="both"/>
        <w:rPr>
          <w:rFonts w:hint="eastAsia" w:ascii="方正小标宋_GBK" w:hAnsi="方正小标宋_GBK" w:eastAsia="方正小标宋_GBK" w:cs="方正小标宋_GBK"/>
          <w:sz w:val="72"/>
          <w:szCs w:val="72"/>
        </w:rPr>
      </w:pPr>
    </w:p>
    <w:p w14:paraId="7804FBAA">
      <w:pPr>
        <w:pStyle w:val="13"/>
        <w:ind w:firstLine="3600" w:firstLineChars="500"/>
        <w:jc w:val="both"/>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ind w:firstLine="700" w:firstLineChars="100"/>
        <w:jc w:val="both"/>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D9C884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5185CBF3">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7F339DD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477D3CF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0F45014C">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4CC05D8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16D484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E27EA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790.20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增加22.87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2023年纳入区教育体育局本级决算的项目，2024年纳入了学校的部门决算数里，导致局机关收入增加。</w:t>
      </w:r>
    </w:p>
    <w:p w14:paraId="463A804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790.20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增加22.87</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增加2.98</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val="en-US" w:eastAsia="zh-CN"/>
        </w:rPr>
        <w:t>2023年纳入区教育体育局本级决算的项目，2024年纳入了学校的部门决算数里，如学校保安工资、其他财政负担人员工资福利支出、图仪信息技术费教育助学励耕计划资助、中小学民办教师和代课教师生活困难补助资金、班主任费、“三区”教师专项资金等。</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48D6495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790.20</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733.30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93</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56.90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2BC1EC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790.20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386.80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403.40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BC06469">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年度财政拨款收</w:t>
      </w:r>
      <w:r>
        <w:rPr>
          <w:rFonts w:hint="eastAsia" w:ascii="Times New Roman" w:hAnsi="Times New Roman" w:eastAsia="仿宋_GB2312"/>
          <w:sz w:val="32"/>
          <w:szCs w:val="32"/>
          <w:lang w:val="en-US" w:eastAsia="zh-CN"/>
        </w:rPr>
        <w:t>入</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733.30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增加23.97</w:t>
      </w:r>
      <w:r>
        <w:rPr>
          <w:rFonts w:hint="eastAsia" w:ascii="Times New Roman" w:hAnsi="Times New Roman" w:eastAsia="仿宋_GB2312"/>
          <w:sz w:val="32"/>
          <w:szCs w:val="32"/>
        </w:rPr>
        <w:t>万元万元,</w:t>
      </w:r>
      <w:r>
        <w:rPr>
          <w:rFonts w:hint="eastAsia" w:ascii="Times New Roman" w:hAnsi="Times New Roman" w:eastAsia="仿宋_GB2312"/>
          <w:sz w:val="32"/>
          <w:szCs w:val="32"/>
          <w:lang w:val="en-US" w:eastAsia="zh-CN"/>
        </w:rPr>
        <w:t>增加3.38</w:t>
      </w:r>
      <w:r>
        <w:rPr>
          <w:rFonts w:hint="eastAsia" w:ascii="Times New Roman" w:hAnsi="Times New Roman" w:eastAsia="仿宋_GB2312"/>
          <w:sz w:val="32"/>
          <w:szCs w:val="32"/>
        </w:rPr>
        <w:t>%，主要是</w:t>
      </w:r>
      <w:r>
        <w:rPr>
          <w:rFonts w:hint="eastAsia" w:ascii="仿宋_GB2312" w:hAnsi="仿宋_GB2312" w:eastAsia="仿宋_GB2312" w:cs="仿宋_GB2312"/>
          <w:sz w:val="32"/>
          <w:szCs w:val="32"/>
        </w:rPr>
        <w:t>因为组织开展各种教学教研活动和全市教干、教师教育培训活动</w:t>
      </w:r>
      <w:r>
        <w:rPr>
          <w:rFonts w:hint="eastAsia" w:ascii="仿宋_GB2312" w:hAnsi="仿宋_GB2312" w:eastAsia="仿宋_GB2312" w:cs="仿宋_GB2312"/>
          <w:sz w:val="32"/>
          <w:szCs w:val="32"/>
          <w:lang w:val="en-US" w:eastAsia="zh-CN"/>
        </w:rPr>
        <w:t>增加，收入增加</w:t>
      </w:r>
      <w:r>
        <w:rPr>
          <w:rFonts w:hint="eastAsia" w:ascii="仿宋_GB2312" w:hAnsi="仿宋_GB2312" w:eastAsia="仿宋_GB2312" w:cs="仿宋_GB2312"/>
          <w:sz w:val="32"/>
          <w:szCs w:val="32"/>
        </w:rPr>
        <w:t>。</w:t>
      </w:r>
    </w:p>
    <w:p w14:paraId="76391CAD">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w:t>
      </w:r>
      <w:r>
        <w:rPr>
          <w:rFonts w:hint="eastAsia" w:ascii="Times New Roman" w:hAnsi="Times New Roman" w:eastAsia="仿宋_GB2312"/>
          <w:sz w:val="32"/>
          <w:szCs w:val="32"/>
          <w:lang w:val="en-US" w:eastAsia="zh-CN"/>
        </w:rPr>
        <w:t>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733.30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增加23.97</w:t>
      </w:r>
      <w:r>
        <w:rPr>
          <w:rFonts w:hint="eastAsia" w:ascii="Times New Roman" w:hAnsi="Times New Roman" w:eastAsia="仿宋_GB2312"/>
          <w:sz w:val="32"/>
          <w:szCs w:val="32"/>
        </w:rPr>
        <w:t>万元万元,</w:t>
      </w:r>
      <w:r>
        <w:rPr>
          <w:rFonts w:hint="eastAsia" w:ascii="Times New Roman" w:hAnsi="Times New Roman" w:eastAsia="仿宋_GB2312"/>
          <w:sz w:val="32"/>
          <w:szCs w:val="32"/>
          <w:lang w:val="en-US" w:eastAsia="zh-CN"/>
        </w:rPr>
        <w:t>增加3.38</w:t>
      </w:r>
      <w:r>
        <w:rPr>
          <w:rFonts w:hint="eastAsia" w:ascii="Times New Roman" w:hAnsi="Times New Roman" w:eastAsia="仿宋_GB2312"/>
          <w:sz w:val="32"/>
          <w:szCs w:val="32"/>
        </w:rPr>
        <w:t>%，主要是</w:t>
      </w:r>
      <w:r>
        <w:rPr>
          <w:rFonts w:hint="eastAsia" w:ascii="仿宋_GB2312" w:hAnsi="仿宋_GB2312" w:eastAsia="仿宋_GB2312" w:cs="仿宋_GB2312"/>
          <w:sz w:val="32"/>
          <w:szCs w:val="32"/>
        </w:rPr>
        <w:t>因为组织开展各种教学教研活动和全市教干、教师教育培训活动</w:t>
      </w:r>
      <w:r>
        <w:rPr>
          <w:rFonts w:hint="eastAsia" w:ascii="仿宋_GB2312" w:hAnsi="仿宋_GB2312" w:eastAsia="仿宋_GB2312" w:cs="仿宋_GB2312"/>
          <w:sz w:val="32"/>
          <w:szCs w:val="32"/>
          <w:lang w:val="en-US" w:eastAsia="zh-CN"/>
        </w:rPr>
        <w:t>增加，支出增加</w:t>
      </w:r>
      <w:r>
        <w:rPr>
          <w:rFonts w:hint="eastAsia" w:ascii="仿宋_GB2312" w:hAnsi="仿宋_GB2312" w:eastAsia="仿宋_GB2312" w:cs="仿宋_GB2312"/>
          <w:sz w:val="32"/>
          <w:szCs w:val="32"/>
        </w:rPr>
        <w:t>。</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（一）一般公共预算财政拨款支出决算总体情况</w:t>
      </w:r>
    </w:p>
    <w:p w14:paraId="018BB608">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总计</w:t>
      </w:r>
      <w:r>
        <w:rPr>
          <w:rFonts w:hint="eastAsia" w:ascii="Times New Roman" w:hAnsi="Times New Roman" w:eastAsia="仿宋_GB2312"/>
          <w:sz w:val="32"/>
          <w:szCs w:val="32"/>
          <w:lang w:val="en-US" w:eastAsia="zh-CN"/>
        </w:rPr>
        <w:t>733.30</w:t>
      </w:r>
      <w:r>
        <w:rPr>
          <w:rFonts w:hint="eastAsia" w:ascii="Times New Roman" w:hAnsi="Times New Roman" w:eastAsia="仿宋_GB2312"/>
          <w:sz w:val="32"/>
          <w:szCs w:val="32"/>
        </w:rPr>
        <w:t>万元，与上年相比，</w:t>
      </w:r>
      <w:r>
        <w:rPr>
          <w:rFonts w:hint="eastAsia" w:ascii="Times New Roman" w:hAnsi="Times New Roman" w:eastAsia="仿宋_GB2312"/>
          <w:sz w:val="32"/>
          <w:szCs w:val="32"/>
          <w:lang w:val="en-US" w:eastAsia="zh-CN"/>
        </w:rPr>
        <w:t>增加23.97</w:t>
      </w:r>
      <w:r>
        <w:rPr>
          <w:rFonts w:hint="eastAsia" w:ascii="Times New Roman" w:hAnsi="Times New Roman" w:eastAsia="仿宋_GB2312"/>
          <w:sz w:val="32"/>
          <w:szCs w:val="32"/>
        </w:rPr>
        <w:t>万元万元,</w:t>
      </w:r>
      <w:r>
        <w:rPr>
          <w:rFonts w:hint="eastAsia" w:ascii="Times New Roman" w:hAnsi="Times New Roman" w:eastAsia="仿宋_GB2312"/>
          <w:sz w:val="32"/>
          <w:szCs w:val="32"/>
          <w:lang w:val="en-US" w:eastAsia="zh-CN"/>
        </w:rPr>
        <w:t>增加3.38</w:t>
      </w:r>
      <w:r>
        <w:rPr>
          <w:rFonts w:hint="eastAsia" w:ascii="Times New Roman" w:hAnsi="Times New Roman" w:eastAsia="仿宋_GB2312"/>
          <w:sz w:val="32"/>
          <w:szCs w:val="32"/>
        </w:rPr>
        <w:t>%，主要是</w:t>
      </w:r>
      <w:r>
        <w:rPr>
          <w:rFonts w:hint="eastAsia" w:ascii="仿宋_GB2312" w:hAnsi="仿宋_GB2312" w:eastAsia="仿宋_GB2312" w:cs="仿宋_GB2312"/>
          <w:sz w:val="32"/>
          <w:szCs w:val="32"/>
        </w:rPr>
        <w:t>因为组织开展各种教学教研活动和全市教干、教师教育培训活动</w:t>
      </w:r>
      <w:r>
        <w:rPr>
          <w:rFonts w:hint="eastAsia" w:ascii="仿宋_GB2312" w:hAnsi="仿宋_GB2312" w:eastAsia="仿宋_GB2312" w:cs="仿宋_GB2312"/>
          <w:sz w:val="32"/>
          <w:szCs w:val="32"/>
          <w:lang w:val="en-US" w:eastAsia="zh-CN"/>
        </w:rPr>
        <w:t>增加，支出增加</w:t>
      </w:r>
      <w:r>
        <w:rPr>
          <w:rFonts w:hint="eastAsia" w:ascii="仿宋_GB2312" w:hAnsi="仿宋_GB2312" w:eastAsia="仿宋_GB2312" w:cs="仿宋_GB2312"/>
          <w:sz w:val="32"/>
          <w:szCs w:val="32"/>
        </w:rPr>
        <w:t>。</w:t>
      </w:r>
    </w:p>
    <w:p w14:paraId="66C54C8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5C9FB2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0000FF"/>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color w:val="000000" w:themeColor="text1"/>
          <w:sz w:val="32"/>
          <w:szCs w:val="32"/>
          <w:lang w:val="en-US" w:eastAsia="zh-CN"/>
          <w14:textFill>
            <w14:solidFill>
              <w14:schemeClr w14:val="tx1"/>
            </w14:solidFill>
          </w14:textFill>
        </w:rPr>
        <w:t>733.30</w:t>
      </w:r>
      <w:r>
        <w:rPr>
          <w:rFonts w:hint="eastAsia" w:ascii="Times New Roman" w:hAnsi="Times New Roman" w:eastAsia="仿宋_GB2312"/>
          <w:color w:val="000000" w:themeColor="text1"/>
          <w:sz w:val="32"/>
          <w:szCs w:val="32"/>
          <w14:textFill>
            <w14:solidFill>
              <w14:schemeClr w14:val="tx1"/>
            </w14:solidFill>
          </w14:textFill>
        </w:rPr>
        <w:t>万元，主要用于以下方面：</w:t>
      </w:r>
      <w:r>
        <w:rPr>
          <w:rFonts w:hint="eastAsia" w:ascii="Times New Roman" w:hAnsi="Times New Roman" w:eastAsia="仿宋_GB2312"/>
          <w:color w:val="000000" w:themeColor="text1"/>
          <w:sz w:val="32"/>
          <w:szCs w:val="32"/>
          <w:lang w:val="en-US" w:eastAsia="zh-CN"/>
          <w14:textFill>
            <w14:solidFill>
              <w14:schemeClr w14:val="tx1"/>
            </w14:solidFill>
          </w14:textFill>
        </w:rPr>
        <w:t>公共安全</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val="en-US" w:eastAsia="zh-CN"/>
          <w14:textFill>
            <w14:solidFill>
              <w14:schemeClr w14:val="tx1"/>
            </w14:solidFill>
          </w14:textFill>
        </w:rPr>
        <w:t>支出0.5</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0.07</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教育（类）支出</w:t>
      </w:r>
      <w:r>
        <w:rPr>
          <w:rFonts w:hint="eastAsia" w:ascii="Times New Roman" w:hAnsi="Times New Roman" w:eastAsia="仿宋_GB2312"/>
          <w:color w:val="000000" w:themeColor="text1"/>
          <w:sz w:val="32"/>
          <w:szCs w:val="32"/>
          <w:lang w:val="en-US" w:eastAsia="zh-CN"/>
          <w14:textFill>
            <w14:solidFill>
              <w14:schemeClr w14:val="tx1"/>
            </w14:solidFill>
          </w14:textFill>
        </w:rPr>
        <w:t>659.5</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89.93</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；社会保障和就业</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val="en-US" w:eastAsia="zh-CN"/>
          <w14:textFill>
            <w14:solidFill>
              <w14:schemeClr w14:val="tx1"/>
            </w14:solidFill>
          </w14:textFill>
        </w:rPr>
        <w:t>支出22.11</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3.02</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卫生健康</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val="en-US" w:eastAsia="zh-CN"/>
          <w14:textFill>
            <w14:solidFill>
              <w14:schemeClr w14:val="tx1"/>
            </w14:solidFill>
          </w14:textFill>
        </w:rPr>
        <w:t>支出35.35</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4.82</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；住房保障</w:t>
      </w:r>
      <w:r>
        <w:rPr>
          <w:rFonts w:hint="eastAsia" w:ascii="Times New Roman" w:hAnsi="Times New Roman" w:eastAsia="仿宋_GB2312"/>
          <w:color w:val="000000" w:themeColor="text1"/>
          <w:sz w:val="32"/>
          <w:szCs w:val="32"/>
          <w14:textFill>
            <w14:solidFill>
              <w14:schemeClr w14:val="tx1"/>
            </w14:solidFill>
          </w14:textFill>
        </w:rPr>
        <w:t>（类）</w:t>
      </w:r>
      <w:r>
        <w:rPr>
          <w:rFonts w:hint="eastAsia" w:ascii="Times New Roman" w:hAnsi="Times New Roman" w:eastAsia="仿宋_GB2312"/>
          <w:color w:val="000000" w:themeColor="text1"/>
          <w:sz w:val="32"/>
          <w:szCs w:val="32"/>
          <w:lang w:val="en-US" w:eastAsia="zh-CN"/>
          <w14:textFill>
            <w14:solidFill>
              <w14:schemeClr w14:val="tx1"/>
            </w14:solidFill>
          </w14:textFill>
        </w:rPr>
        <w:t>支出15.84</w:t>
      </w:r>
      <w:r>
        <w:rPr>
          <w:rFonts w:hint="eastAsia" w:ascii="Times New Roman" w:hAnsi="Times New Roman" w:eastAsia="仿宋_GB2312"/>
          <w:color w:val="000000" w:themeColor="text1"/>
          <w:sz w:val="32"/>
          <w:szCs w:val="32"/>
          <w14:textFill>
            <w14:solidFill>
              <w14:schemeClr w14:val="tx1"/>
            </w14:solidFill>
          </w14:textFill>
        </w:rPr>
        <w:t>万元，占</w:t>
      </w:r>
      <w:r>
        <w:rPr>
          <w:rFonts w:hint="eastAsia" w:ascii="Times New Roman" w:hAnsi="Times New Roman" w:eastAsia="仿宋_GB2312"/>
          <w:color w:val="000000" w:themeColor="text1"/>
          <w:sz w:val="32"/>
          <w:szCs w:val="32"/>
          <w:lang w:val="en-US" w:eastAsia="zh-CN"/>
          <w14:textFill>
            <w14:solidFill>
              <w14:schemeClr w14:val="tx1"/>
            </w14:solidFill>
          </w14:textFill>
        </w:rPr>
        <w:t>2.16</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eastAsia="zh-CN"/>
          <w14:textFill>
            <w14:solidFill>
              <w14:schemeClr w14:val="tx1"/>
            </w14:solidFill>
          </w14:textFill>
        </w:rPr>
        <w:t>。</w:t>
      </w:r>
    </w:p>
    <w:p w14:paraId="5CDBADF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（三）一般公共预算财政拨款支出决算具体情况</w:t>
      </w:r>
    </w:p>
    <w:p w14:paraId="465BC99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750.6</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733.30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97.7</w:t>
      </w:r>
      <w:r>
        <w:rPr>
          <w:rFonts w:hint="eastAsia" w:ascii="Times New Roman" w:hAnsi="Times New Roman" w:eastAsia="仿宋_GB2312"/>
          <w:sz w:val="32"/>
          <w:szCs w:val="32"/>
        </w:rPr>
        <w:t>%，其中：</w:t>
      </w:r>
      <w:bookmarkStart w:id="4" w:name="_GoBack"/>
      <w:bookmarkEnd w:id="4"/>
    </w:p>
    <w:p w14:paraId="4052217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仿宋_GB2312" w:hAnsi="仿宋_GB2312" w:eastAsia="仿宋_GB2312" w:cs="仿宋_GB2312"/>
          <w:color w:val="auto"/>
          <w:sz w:val="32"/>
          <w:szCs w:val="32"/>
          <w:lang w:val="en-US" w:eastAsia="zh-CN"/>
        </w:rPr>
        <w:t>公共安全支出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司法</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普法宣传</w:t>
      </w:r>
      <w:r>
        <w:rPr>
          <w:rFonts w:hint="eastAsia" w:ascii="Times New Roman" w:hAnsi="Times New Roman" w:eastAsia="仿宋_GB2312"/>
          <w:color w:val="auto"/>
          <w:sz w:val="32"/>
          <w:szCs w:val="32"/>
        </w:rPr>
        <w:t>（项）。</w:t>
      </w:r>
    </w:p>
    <w:p w14:paraId="3D89D38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83.33</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厉行节约，缩小支出。</w:t>
      </w:r>
    </w:p>
    <w:p w14:paraId="23E9957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、教育支出（类）教育管理事务（款）行政运行（项）。</w:t>
      </w:r>
    </w:p>
    <w:p w14:paraId="2E5A219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65.98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99.97</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厉行节约，缩小支出。</w:t>
      </w:r>
    </w:p>
    <w:p w14:paraId="710AA1CC">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color w:val="auto"/>
          <w:sz w:val="32"/>
          <w:szCs w:val="32"/>
        </w:rPr>
        <w:t>、教育支出（类）教育管理事务（款） 一般行政管理事务（项）。</w:t>
      </w:r>
    </w:p>
    <w:p w14:paraId="0C9C6698">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25.98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99.92</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厉行节约，缩小支出。</w:t>
      </w:r>
    </w:p>
    <w:p w14:paraId="755AD2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、教育支出（类）教育管理事务（款） 机关服务（项）。</w:t>
      </w:r>
    </w:p>
    <w:p w14:paraId="40F32CF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115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110.65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96.22</w:t>
      </w:r>
      <w:r>
        <w:rPr>
          <w:rFonts w:hint="eastAsia" w:ascii="Times New Roman" w:hAnsi="Times New Roman" w:eastAsia="仿宋_GB2312"/>
          <w:color w:val="auto"/>
          <w:sz w:val="32"/>
          <w:szCs w:val="32"/>
        </w:rPr>
        <w:t>%，决算数小于年初预算数的主要原因是：</w:t>
      </w:r>
      <w:r>
        <w:rPr>
          <w:rFonts w:hint="eastAsia" w:ascii="Times New Roman" w:hAnsi="Times New Roman" w:eastAsia="仿宋_GB2312"/>
          <w:color w:val="auto"/>
          <w:sz w:val="32"/>
          <w:szCs w:val="32"/>
          <w:lang w:val="en-US" w:eastAsia="zh-CN"/>
        </w:rPr>
        <w:t>厉行节约，缩小支出。</w:t>
      </w:r>
    </w:p>
    <w:p w14:paraId="744DE10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教育支出（类）教育管理事务（款）其他教育管理事务支出（项）。</w:t>
      </w:r>
    </w:p>
    <w:p w14:paraId="62CF993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w:t>
      </w:r>
    </w:p>
    <w:p w14:paraId="00A193E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、教育支出（类） 普通教育（款）学前教育（项）。</w:t>
      </w:r>
    </w:p>
    <w:p w14:paraId="6C49F81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128.2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98.62</w:t>
      </w:r>
      <w:r>
        <w:rPr>
          <w:rFonts w:hint="eastAsia" w:ascii="Times New Roman" w:hAnsi="Times New Roman" w:eastAsia="仿宋_GB2312"/>
          <w:sz w:val="32"/>
          <w:szCs w:val="32"/>
        </w:rPr>
        <w:t>%，</w:t>
      </w:r>
      <w:r>
        <w:rPr>
          <w:rFonts w:hint="eastAsia" w:ascii="Times New Roman" w:hAnsi="Times New Roman" w:eastAsia="仿宋_GB2312"/>
          <w:color w:val="auto"/>
          <w:sz w:val="32"/>
          <w:szCs w:val="32"/>
          <w:lang w:eastAsia="zh-CN"/>
        </w:rPr>
        <w:t>决算小于年初预算的原因是人员经费的减少</w:t>
      </w:r>
      <w:r>
        <w:rPr>
          <w:rFonts w:hint="eastAsia" w:ascii="Times New Roman" w:hAnsi="Times New Roman" w:eastAsia="仿宋_GB2312"/>
          <w:color w:val="auto"/>
          <w:sz w:val="32"/>
          <w:szCs w:val="32"/>
        </w:rPr>
        <w:t>。</w:t>
      </w:r>
    </w:p>
    <w:p w14:paraId="1A61403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教育支出（类） 普通教育（款）小学教育（项）。</w:t>
      </w:r>
    </w:p>
    <w:p w14:paraId="4ED298B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110.33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95.94</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val="en-US" w:eastAsia="zh-CN"/>
        </w:rPr>
        <w:t>厉行节约，缩小支出。</w:t>
      </w:r>
    </w:p>
    <w:p w14:paraId="53D69FDC">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教育（类）普通教育（款）初中教育（项）。</w:t>
      </w:r>
    </w:p>
    <w:p w14:paraId="05936F73">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34.5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98.57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决算小于年初预算的原因是人员经费的减少</w:t>
      </w:r>
      <w:r>
        <w:rPr>
          <w:rFonts w:hint="eastAsia" w:ascii="Times New Roman" w:hAnsi="Times New Roman" w:eastAsia="仿宋_GB2312"/>
          <w:color w:val="auto"/>
          <w:sz w:val="32"/>
          <w:szCs w:val="32"/>
        </w:rPr>
        <w:t>。</w:t>
      </w:r>
    </w:p>
    <w:p w14:paraId="03D9F3AE">
      <w:pPr>
        <w:pStyle w:val="13"/>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、教育（类）普通教育（款）高中教育（项）。</w:t>
      </w:r>
    </w:p>
    <w:p w14:paraId="2E97C7F4">
      <w:pPr>
        <w:pStyle w:val="13"/>
        <w:spacing w:line="600" w:lineRule="exact"/>
        <w:ind w:firstLine="640" w:firstLineChars="200"/>
        <w:rPr>
          <w:rFonts w:hint="eastAsia" w:ascii="Times New Roman" w:hAnsi="Times New Roman" w:eastAsia="仿宋_GB2312"/>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元，支出决算为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w:t>
      </w:r>
      <w:r>
        <w:rPr>
          <w:rFonts w:hint="eastAsia" w:ascii="Times New Roman" w:hAnsi="Times New Roman" w:eastAsia="仿宋_GB2312"/>
          <w:sz w:val="32"/>
          <w:szCs w:val="32"/>
        </w:rPr>
        <w:t>完成年初预算的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val="en-US" w:eastAsia="zh-CN"/>
        </w:rPr>
        <w:t>等于</w:t>
      </w:r>
      <w:r>
        <w:rPr>
          <w:rFonts w:hint="eastAsia" w:ascii="Times New Roman" w:hAnsi="Times New Roman" w:eastAsia="仿宋_GB2312"/>
          <w:sz w:val="32"/>
          <w:szCs w:val="32"/>
        </w:rPr>
        <w:t>年初预算数</w:t>
      </w:r>
      <w:r>
        <w:rPr>
          <w:rFonts w:hint="eastAsia" w:ascii="Times New Roman" w:hAnsi="Times New Roman" w:eastAsia="仿宋_GB2312"/>
          <w:sz w:val="32"/>
          <w:szCs w:val="32"/>
          <w:lang w:val="en-US" w:eastAsia="zh-CN"/>
        </w:rPr>
        <w:t>。</w:t>
      </w:r>
    </w:p>
    <w:p w14:paraId="1F9A3730">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教育支出（类） 普通教育（款）其他普通教育支出（项）。</w:t>
      </w:r>
    </w:p>
    <w:p w14:paraId="322B6C9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74.36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99.15</w:t>
      </w:r>
      <w:r>
        <w:rPr>
          <w:rFonts w:hint="eastAsia" w:ascii="Times New Roman" w:hAnsi="Times New Roman" w:eastAsia="仿宋_GB2312"/>
          <w:color w:val="auto"/>
          <w:sz w:val="32"/>
          <w:szCs w:val="32"/>
        </w:rPr>
        <w:t>%，决算数</w:t>
      </w:r>
      <w:r>
        <w:rPr>
          <w:rFonts w:hint="eastAsia" w:ascii="Times New Roman" w:hAnsi="Times New Roman" w:eastAsia="仿宋_GB2312"/>
          <w:sz w:val="32"/>
          <w:szCs w:val="32"/>
        </w:rPr>
        <w:t>小于年初预算数的主要原因是：</w:t>
      </w:r>
      <w:r>
        <w:rPr>
          <w:rFonts w:hint="eastAsia" w:ascii="Times New Roman" w:hAnsi="Times New Roman" w:eastAsia="仿宋_GB2312"/>
          <w:sz w:val="32"/>
          <w:szCs w:val="32"/>
          <w:lang w:val="en-US" w:eastAsia="zh-CN"/>
        </w:rPr>
        <w:t>厉行节约，缩小支出。</w:t>
      </w:r>
    </w:p>
    <w:p w14:paraId="448D1F5D">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sz w:val="32"/>
          <w:szCs w:val="32"/>
          <w:lang w:val="en-US" w:eastAsia="zh-CN"/>
        </w:rPr>
        <w:t>11</w:t>
      </w:r>
      <w:r>
        <w:rPr>
          <w:rFonts w:hint="eastAsia" w:ascii="Times New Roman" w:hAnsi="Times New Roman" w:eastAsia="仿宋_GB2312"/>
          <w:sz w:val="32"/>
          <w:szCs w:val="32"/>
        </w:rPr>
        <w:t>、</w:t>
      </w:r>
      <w:r>
        <w:rPr>
          <w:rFonts w:hint="eastAsia" w:ascii="Times New Roman" w:hAnsi="Times New Roman" w:eastAsia="仿宋_GB2312"/>
          <w:color w:val="auto"/>
          <w:sz w:val="32"/>
          <w:szCs w:val="32"/>
        </w:rPr>
        <w:t>教育支出（类）教育费附加安排的支出（款）其他教育费附加安排的支出（项）。</w:t>
      </w:r>
    </w:p>
    <w:p w14:paraId="689B5D6B">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85</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84.5</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99.41</w:t>
      </w:r>
      <w:r>
        <w:rPr>
          <w:rFonts w:hint="eastAsia" w:ascii="Times New Roman" w:hAnsi="Times New Roman" w:eastAsia="仿宋_GB2312"/>
          <w:color w:val="auto"/>
          <w:sz w:val="32"/>
          <w:szCs w:val="32"/>
        </w:rPr>
        <w:t>%，决算数</w:t>
      </w:r>
      <w:r>
        <w:rPr>
          <w:rFonts w:hint="eastAsia" w:ascii="Times New Roman" w:hAnsi="Times New Roman" w:eastAsia="仿宋_GB2312"/>
          <w:sz w:val="32"/>
          <w:szCs w:val="32"/>
        </w:rPr>
        <w:t>小于年初预算数的主要原因是：</w:t>
      </w:r>
      <w:r>
        <w:rPr>
          <w:rFonts w:hint="eastAsia" w:ascii="Times New Roman" w:hAnsi="Times New Roman" w:eastAsia="仿宋_GB2312"/>
          <w:sz w:val="32"/>
          <w:szCs w:val="32"/>
          <w:lang w:val="en-US" w:eastAsia="zh-CN"/>
        </w:rPr>
        <w:t>厉行节约，缩小支出。</w:t>
      </w:r>
    </w:p>
    <w:p w14:paraId="746CEC3E">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w:t>
      </w:r>
      <w:r>
        <w:rPr>
          <w:rFonts w:hint="eastAsia" w:ascii="Times New Roman" w:hAnsi="Times New Roman" w:eastAsia="仿宋_GB2312"/>
          <w:color w:val="000000" w:themeColor="text1"/>
          <w:sz w:val="32"/>
          <w:szCs w:val="32"/>
          <w:lang w:val="en-US" w:eastAsia="zh-CN"/>
          <w14:textFill>
            <w14:solidFill>
              <w14:schemeClr w14:val="tx1"/>
            </w14:solidFill>
          </w14:textFill>
        </w:rPr>
        <w:t>社会保障和就业（类）行政事业单位养老（款）机关事业单位基本养老保险缴费支出（项）</w:t>
      </w:r>
    </w:p>
    <w:p w14:paraId="1CAD31AD">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000000" w:themeColor="text1"/>
          <w:sz w:val="32"/>
          <w:szCs w:val="32"/>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14:textFill>
            <w14:solidFill>
              <w14:schemeClr w14:val="tx1"/>
            </w14:solidFill>
          </w14:textFill>
        </w:rPr>
        <w:t>年初预算为</w:t>
      </w:r>
      <w:r>
        <w:rPr>
          <w:rFonts w:hint="eastAsia" w:ascii="Times New Roman" w:hAnsi="Times New Roman" w:eastAsia="仿宋_GB2312"/>
          <w:color w:val="000000" w:themeColor="text1"/>
          <w:sz w:val="32"/>
          <w:szCs w:val="32"/>
          <w:lang w:val="en-US" w:eastAsia="zh-CN"/>
          <w14:textFill>
            <w14:solidFill>
              <w14:schemeClr w14:val="tx1"/>
            </w14:solidFill>
          </w14:textFill>
        </w:rPr>
        <w:t>22</w:t>
      </w:r>
      <w:r>
        <w:rPr>
          <w:rFonts w:hint="eastAsia" w:ascii="Times New Roman" w:hAnsi="Times New Roman" w:eastAsia="仿宋_GB2312"/>
          <w:color w:val="000000" w:themeColor="text1"/>
          <w:sz w:val="32"/>
          <w:szCs w:val="32"/>
          <w14:textFill>
            <w14:solidFill>
              <w14:schemeClr w14:val="tx1"/>
            </w14:solidFill>
          </w14:textFill>
        </w:rPr>
        <w:t>万元，支出决算为</w:t>
      </w:r>
      <w:r>
        <w:rPr>
          <w:rFonts w:hint="eastAsia" w:ascii="Times New Roman" w:hAnsi="Times New Roman" w:eastAsia="仿宋_GB2312"/>
          <w:color w:val="000000" w:themeColor="text1"/>
          <w:sz w:val="32"/>
          <w:szCs w:val="32"/>
          <w:lang w:val="en-US" w:eastAsia="zh-CN"/>
          <w14:textFill>
            <w14:solidFill>
              <w14:schemeClr w14:val="tx1"/>
            </w14:solidFill>
          </w14:textFill>
        </w:rPr>
        <w:t>20.56</w:t>
      </w:r>
      <w:r>
        <w:rPr>
          <w:rFonts w:hint="eastAsia" w:ascii="Times New Roman" w:hAnsi="Times New Roman" w:eastAsia="仿宋_GB2312"/>
          <w:color w:val="000000" w:themeColor="text1"/>
          <w:sz w:val="32"/>
          <w:szCs w:val="32"/>
          <w14:textFill>
            <w14:solidFill>
              <w14:schemeClr w14:val="tx1"/>
            </w14:solidFill>
          </w14:textFill>
        </w:rPr>
        <w:t>万元，</w:t>
      </w:r>
      <w:r>
        <w:rPr>
          <w:rFonts w:hint="eastAsia" w:ascii="Times New Roman" w:hAnsi="Times New Roman" w:eastAsia="仿宋_GB2312"/>
          <w:color w:val="000000" w:themeColor="text1"/>
          <w:sz w:val="32"/>
          <w:szCs w:val="32"/>
          <w:lang w:eastAsia="zh-CN"/>
          <w14:textFill>
            <w14:solidFill>
              <w14:schemeClr w14:val="tx1"/>
            </w14:solidFill>
          </w14:textFill>
        </w:rPr>
        <w:t>完成年初预算的</w:t>
      </w:r>
      <w:r>
        <w:rPr>
          <w:rFonts w:hint="eastAsia" w:ascii="Times New Roman" w:hAnsi="Times New Roman" w:eastAsia="仿宋_GB2312"/>
          <w:color w:val="000000" w:themeColor="text1"/>
          <w:sz w:val="32"/>
          <w:szCs w:val="32"/>
          <w:lang w:val="en-US" w:eastAsia="zh-CN"/>
          <w14:textFill>
            <w14:solidFill>
              <w14:schemeClr w14:val="tx1"/>
            </w14:solidFill>
          </w14:textFill>
        </w:rPr>
        <w:t>93.45%，</w:t>
      </w:r>
      <w:r>
        <w:rPr>
          <w:rFonts w:hint="eastAsia" w:ascii="Times New Roman" w:hAnsi="Times New Roman" w:eastAsia="仿宋_GB2312"/>
          <w:color w:val="auto"/>
          <w:sz w:val="32"/>
          <w:szCs w:val="32"/>
        </w:rPr>
        <w:t>决算数</w:t>
      </w:r>
      <w:r>
        <w:rPr>
          <w:rFonts w:hint="eastAsia" w:ascii="Times New Roman" w:hAnsi="Times New Roman" w:eastAsia="仿宋_GB2312"/>
          <w:sz w:val="32"/>
          <w:szCs w:val="32"/>
        </w:rPr>
        <w:t>小于年初预算数的主要原因是：</w:t>
      </w:r>
      <w:r>
        <w:rPr>
          <w:rFonts w:hint="eastAsia" w:ascii="Times New Roman" w:hAnsi="Times New Roman" w:eastAsia="仿宋_GB2312"/>
          <w:sz w:val="32"/>
          <w:szCs w:val="32"/>
          <w:lang w:val="en-US" w:eastAsia="zh-CN"/>
        </w:rPr>
        <w:t>厉行节约，缩小支出。</w:t>
      </w:r>
    </w:p>
    <w:p w14:paraId="04F9B95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、社会保障和就业支出（类）</w:t>
      </w:r>
      <w:r>
        <w:rPr>
          <w:rFonts w:hint="eastAsia" w:ascii="Times New Roman" w:hAnsi="Times New Roman" w:eastAsia="仿宋_GB2312"/>
          <w:color w:val="auto"/>
          <w:sz w:val="32"/>
          <w:szCs w:val="32"/>
          <w:lang w:val="en-US" w:eastAsia="zh-CN"/>
        </w:rPr>
        <w:t>其他</w:t>
      </w:r>
      <w:r>
        <w:rPr>
          <w:rFonts w:hint="eastAsia" w:ascii="Times New Roman" w:hAnsi="Times New Roman" w:eastAsia="仿宋_GB2312"/>
          <w:color w:val="auto"/>
          <w:sz w:val="32"/>
          <w:szCs w:val="32"/>
        </w:rPr>
        <w:t>社会保障和就业支出（款）</w:t>
      </w:r>
      <w:r>
        <w:rPr>
          <w:rFonts w:hint="eastAsia" w:ascii="Times New Roman" w:hAnsi="Times New Roman" w:eastAsia="仿宋_GB2312"/>
          <w:color w:val="auto"/>
          <w:sz w:val="32"/>
          <w:szCs w:val="32"/>
          <w:lang w:val="en-US" w:eastAsia="zh-CN"/>
        </w:rPr>
        <w:t>其他</w:t>
      </w:r>
      <w:r>
        <w:rPr>
          <w:rFonts w:hint="eastAsia" w:ascii="Times New Roman" w:hAnsi="Times New Roman" w:eastAsia="仿宋_GB2312"/>
          <w:color w:val="auto"/>
          <w:sz w:val="32"/>
          <w:szCs w:val="32"/>
        </w:rPr>
        <w:t>社会保障和就业支出（项）。</w:t>
      </w:r>
    </w:p>
    <w:p w14:paraId="7F96B1D5">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1.55</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完成年初预算的</w:t>
      </w:r>
      <w:r>
        <w:rPr>
          <w:rFonts w:hint="eastAsia" w:ascii="Times New Roman" w:hAnsi="Times New Roman" w:eastAsia="仿宋_GB2312"/>
          <w:color w:val="auto"/>
          <w:sz w:val="32"/>
          <w:szCs w:val="32"/>
          <w:lang w:val="en-US" w:eastAsia="zh-CN"/>
        </w:rPr>
        <w:t>77.5%，</w:t>
      </w:r>
      <w:r>
        <w:rPr>
          <w:rFonts w:hint="eastAsia" w:ascii="Times New Roman" w:hAnsi="Times New Roman" w:eastAsia="仿宋_GB2312"/>
          <w:color w:val="auto"/>
          <w:sz w:val="32"/>
          <w:szCs w:val="32"/>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人员退休,经</w:t>
      </w:r>
      <w:r>
        <w:rPr>
          <w:rFonts w:hint="eastAsia" w:ascii="Times New Roman" w:hAnsi="Times New Roman" w:eastAsia="仿宋_GB2312"/>
          <w:color w:val="000000" w:themeColor="text1"/>
          <w:sz w:val="32"/>
          <w:szCs w:val="32"/>
          <w:lang w:eastAsia="zh-CN"/>
          <w14:textFill>
            <w14:solidFill>
              <w14:schemeClr w14:val="tx1"/>
            </w14:solidFill>
          </w14:textFill>
        </w:rPr>
        <w:t>费减少。</w:t>
      </w:r>
    </w:p>
    <w:p w14:paraId="7AB7AE3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bookmarkStart w:id="0" w:name="OLE_LINK2"/>
      <w:r>
        <w:rPr>
          <w:rFonts w:hint="eastAsia" w:ascii="Times New Roman" w:hAnsi="Times New Roman" w:eastAsia="仿宋_GB2312"/>
          <w:color w:val="000000" w:themeColor="text1"/>
          <w:sz w:val="32"/>
          <w:szCs w:val="32"/>
          <w:lang w:val="en-US" w:eastAsia="zh-CN"/>
          <w14:textFill>
            <w14:solidFill>
              <w14:schemeClr w14:val="tx1"/>
            </w14:solidFill>
          </w14:textFill>
        </w:rPr>
        <w:t>14、</w:t>
      </w:r>
      <w:r>
        <w:rPr>
          <w:rFonts w:hint="eastAsia" w:ascii="Times New Roman" w:hAnsi="Times New Roman" w:eastAsia="仿宋_GB2312"/>
          <w:sz w:val="32"/>
          <w:szCs w:val="32"/>
          <w:lang w:val="en-US" w:eastAsia="zh-CN"/>
        </w:rPr>
        <w:t>卫生健康（类）行政事业单位医疗（款）</w:t>
      </w:r>
      <w:bookmarkEnd w:id="0"/>
      <w:r>
        <w:rPr>
          <w:rFonts w:hint="eastAsia" w:ascii="Times New Roman" w:hAnsi="Times New Roman" w:eastAsia="仿宋_GB2312"/>
          <w:sz w:val="32"/>
          <w:szCs w:val="32"/>
          <w:lang w:val="en-US" w:eastAsia="zh-CN"/>
        </w:rPr>
        <w:t xml:space="preserve">事业单位医疗（项） </w:t>
      </w:r>
    </w:p>
    <w:p w14:paraId="68B3F922">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13.81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92.07%，</w:t>
      </w:r>
      <w:r>
        <w:rPr>
          <w:rFonts w:hint="eastAsia" w:ascii="Times New Roman" w:hAnsi="Times New Roman" w:eastAsia="仿宋_GB2312"/>
          <w:sz w:val="32"/>
          <w:szCs w:val="32"/>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人员退休,经</w:t>
      </w:r>
      <w:r>
        <w:rPr>
          <w:rFonts w:hint="eastAsia" w:ascii="Times New Roman" w:hAnsi="Times New Roman" w:eastAsia="仿宋_GB2312"/>
          <w:color w:val="000000" w:themeColor="text1"/>
          <w:sz w:val="32"/>
          <w:szCs w:val="32"/>
          <w:lang w:eastAsia="zh-CN"/>
          <w14:textFill>
            <w14:solidFill>
              <w14:schemeClr w14:val="tx1"/>
            </w14:solidFill>
          </w14:textFill>
        </w:rPr>
        <w:t>费减少。</w:t>
      </w:r>
      <w:r>
        <w:rPr>
          <w:rFonts w:hint="eastAsia" w:ascii="Times New Roman" w:hAnsi="Times New Roman" w:eastAsia="仿宋_GB2312"/>
          <w:sz w:val="32"/>
          <w:szCs w:val="32"/>
          <w:lang w:val="en-US" w:eastAsia="zh-CN"/>
        </w:rPr>
        <w:t xml:space="preserve">                                </w:t>
      </w:r>
    </w:p>
    <w:p w14:paraId="0F8A999A">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bookmarkStart w:id="1" w:name="OLE_LINK5"/>
      <w:r>
        <w:rPr>
          <w:rFonts w:hint="eastAsia" w:ascii="Times New Roman" w:hAnsi="Times New Roman" w:eastAsia="仿宋_GB2312"/>
          <w:sz w:val="32"/>
          <w:szCs w:val="32"/>
          <w:lang w:val="en-US" w:eastAsia="zh-CN"/>
        </w:rPr>
        <w:t>15、卫生健康（类）行政事业单位医疗（款）</w:t>
      </w:r>
      <w:bookmarkEnd w:id="1"/>
      <w:r>
        <w:rPr>
          <w:rFonts w:hint="eastAsia" w:ascii="Times New Roman" w:hAnsi="Times New Roman" w:eastAsia="仿宋_GB2312"/>
          <w:sz w:val="32"/>
          <w:szCs w:val="32"/>
          <w:lang w:val="en-US" w:eastAsia="zh-CN"/>
        </w:rPr>
        <w:t>公务员医疗补助（项）</w:t>
      </w:r>
    </w:p>
    <w:p w14:paraId="4B594AAE">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4.94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98.8%，</w:t>
      </w:r>
      <w:r>
        <w:rPr>
          <w:rFonts w:hint="eastAsia" w:ascii="Times New Roman" w:hAnsi="Times New Roman" w:eastAsia="仿宋_GB2312"/>
          <w:sz w:val="32"/>
          <w:szCs w:val="32"/>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人员退休,经</w:t>
      </w:r>
      <w:r>
        <w:rPr>
          <w:rFonts w:hint="eastAsia" w:ascii="Times New Roman" w:hAnsi="Times New Roman" w:eastAsia="仿宋_GB2312"/>
          <w:color w:val="000000" w:themeColor="text1"/>
          <w:sz w:val="32"/>
          <w:szCs w:val="32"/>
          <w:lang w:eastAsia="zh-CN"/>
          <w14:textFill>
            <w14:solidFill>
              <w14:schemeClr w14:val="tx1"/>
            </w14:solidFill>
          </w14:textFill>
        </w:rPr>
        <w:t>费减少。</w:t>
      </w:r>
      <w:r>
        <w:rPr>
          <w:rFonts w:hint="eastAsia" w:ascii="Times New Roman" w:hAnsi="Times New Roman" w:eastAsia="仿宋_GB2312"/>
          <w:sz w:val="32"/>
          <w:szCs w:val="32"/>
          <w:lang w:val="en-US" w:eastAsia="zh-CN"/>
        </w:rPr>
        <w:t xml:space="preserve">   </w:t>
      </w:r>
    </w:p>
    <w:p w14:paraId="220A0F6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16、卫生健康（类） 行政事业单位医疗 （款）其他行政事业单位医疗支出（项）</w:t>
      </w:r>
    </w:p>
    <w:p w14:paraId="1387A26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lang w:eastAsia="zh-CN"/>
        </w:rPr>
      </w:pPr>
      <w:bookmarkStart w:id="2" w:name="OLE_LINK1"/>
      <w:bookmarkStart w:id="3" w:name="OLE_LINK4"/>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16.6</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92.22%，</w:t>
      </w:r>
      <w:r>
        <w:rPr>
          <w:rFonts w:hint="eastAsia" w:ascii="Times New Roman" w:hAnsi="Times New Roman" w:eastAsia="仿宋_GB2312"/>
          <w:sz w:val="32"/>
          <w:szCs w:val="32"/>
        </w:rPr>
        <w:t>决算数</w:t>
      </w:r>
      <w:bookmarkEnd w:id="2"/>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人员退休,经</w:t>
      </w:r>
      <w:r>
        <w:rPr>
          <w:rFonts w:hint="eastAsia" w:ascii="Times New Roman" w:hAnsi="Times New Roman" w:eastAsia="仿宋_GB2312"/>
          <w:color w:val="000000" w:themeColor="text1"/>
          <w:sz w:val="32"/>
          <w:szCs w:val="32"/>
          <w:lang w:eastAsia="zh-CN"/>
          <w14:textFill>
            <w14:solidFill>
              <w14:schemeClr w14:val="tx1"/>
            </w14:solidFill>
          </w14:textFill>
        </w:rPr>
        <w:t>费减少。</w:t>
      </w:r>
    </w:p>
    <w:bookmarkEnd w:id="3"/>
    <w:p w14:paraId="5D504CF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17、</w:t>
      </w:r>
      <w:r>
        <w:rPr>
          <w:rFonts w:hint="default" w:ascii="Times New Roman" w:hAnsi="Times New Roman" w:eastAsia="仿宋_GB2312"/>
          <w:sz w:val="32"/>
          <w:szCs w:val="32"/>
          <w:lang w:val="en-US" w:eastAsia="zh-CN"/>
        </w:rPr>
        <w:t>住房保障</w:t>
      </w:r>
      <w:r>
        <w:rPr>
          <w:rFonts w:hint="eastAsia" w:ascii="Times New Roman" w:hAnsi="Times New Roman" w:eastAsia="仿宋_GB2312"/>
          <w:sz w:val="32"/>
          <w:szCs w:val="32"/>
          <w:lang w:val="en-US" w:eastAsia="zh-CN"/>
        </w:rPr>
        <w:t>（类）住房改革（款）住房公积金支出（项）</w:t>
      </w:r>
    </w:p>
    <w:p w14:paraId="54F7FED9">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15.84</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完成年初预算的</w:t>
      </w:r>
      <w:r>
        <w:rPr>
          <w:rFonts w:hint="eastAsia" w:ascii="Times New Roman" w:hAnsi="Times New Roman" w:eastAsia="仿宋_GB2312"/>
          <w:sz w:val="32"/>
          <w:szCs w:val="32"/>
          <w:lang w:val="en-US" w:eastAsia="zh-CN"/>
        </w:rPr>
        <w:t>99%，</w:t>
      </w:r>
      <w:r>
        <w:rPr>
          <w:rFonts w:hint="eastAsia" w:ascii="Times New Roman" w:hAnsi="Times New Roman" w:eastAsia="仿宋_GB2312"/>
          <w:sz w:val="32"/>
          <w:szCs w:val="32"/>
        </w:rPr>
        <w:t>决算数</w:t>
      </w:r>
      <w:r>
        <w:rPr>
          <w:rFonts w:hint="eastAsia" w:ascii="Times New Roman" w:hAnsi="Times New Roman" w:eastAsia="仿宋_GB2312"/>
          <w:color w:val="000000" w:themeColor="text1"/>
          <w:sz w:val="32"/>
          <w:szCs w:val="32"/>
          <w:lang w:eastAsia="zh-CN"/>
          <w14:textFill>
            <w14:solidFill>
              <w14:schemeClr w14:val="tx1"/>
            </w14:solidFill>
          </w14:textFill>
        </w:rPr>
        <w:t>小</w:t>
      </w:r>
      <w:r>
        <w:rPr>
          <w:rFonts w:hint="eastAsia" w:ascii="Times New Roman" w:hAnsi="Times New Roman" w:eastAsia="仿宋_GB2312"/>
          <w:color w:val="000000" w:themeColor="text1"/>
          <w:sz w:val="32"/>
          <w:szCs w:val="32"/>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lang w:val="en-US" w:eastAsia="zh-CN"/>
          <w14:textFill>
            <w14:solidFill>
              <w14:schemeClr w14:val="tx1"/>
            </w14:solidFill>
          </w14:textFill>
        </w:rPr>
        <w:t>2024年机关有事业编制1</w:t>
      </w:r>
      <w:r>
        <w:rPr>
          <w:rFonts w:hint="eastAsia" w:ascii="Times New Roman" w:hAnsi="Times New Roman" w:eastAsia="仿宋_GB2312"/>
          <w:color w:val="000000" w:themeColor="text1"/>
          <w:sz w:val="32"/>
          <w:szCs w:val="32"/>
          <w:lang w:eastAsia="zh-CN"/>
          <w14:textFill>
            <w14:solidFill>
              <w14:schemeClr w14:val="tx1"/>
            </w14:solidFill>
          </w14:textFill>
        </w:rPr>
        <w:t>人</w:t>
      </w:r>
      <w:r>
        <w:rPr>
          <w:rFonts w:hint="eastAsia" w:ascii="Times New Roman" w:hAnsi="Times New Roman" w:eastAsia="仿宋_GB2312"/>
          <w:color w:val="000000" w:themeColor="text1"/>
          <w:sz w:val="32"/>
          <w:szCs w:val="32"/>
          <w:lang w:val="en-US" w:eastAsia="zh-CN"/>
          <w14:textFill>
            <w14:solidFill>
              <w14:schemeClr w14:val="tx1"/>
            </w14:solidFill>
          </w14:textFill>
        </w:rPr>
        <w:t>退休,经</w:t>
      </w:r>
      <w:r>
        <w:rPr>
          <w:rFonts w:hint="eastAsia" w:ascii="Times New Roman" w:hAnsi="Times New Roman" w:eastAsia="仿宋_GB2312"/>
          <w:color w:val="000000" w:themeColor="text1"/>
          <w:sz w:val="32"/>
          <w:szCs w:val="32"/>
          <w:lang w:eastAsia="zh-CN"/>
          <w14:textFill>
            <w14:solidFill>
              <w14:schemeClr w14:val="tx1"/>
            </w14:solidFill>
          </w14:textFill>
        </w:rPr>
        <w:t>费减少。</w:t>
      </w:r>
      <w:r>
        <w:rPr>
          <w:rFonts w:hint="eastAsia" w:ascii="Times New Roman" w:hAnsi="Times New Roman" w:eastAsia="仿宋_GB2312"/>
          <w:sz w:val="32"/>
          <w:szCs w:val="32"/>
          <w:lang w:val="en-US" w:eastAsia="zh-CN"/>
        </w:rPr>
        <w:t xml:space="preserve">  </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2A7E006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329.9</w:t>
      </w:r>
      <w:r>
        <w:rPr>
          <w:rFonts w:hint="eastAsia" w:ascii="Times New Roman" w:hAnsi="Times New Roman" w:eastAsia="仿宋_GB2312"/>
          <w:sz w:val="32"/>
          <w:szCs w:val="32"/>
        </w:rPr>
        <w:t>万元，其中：</w:t>
      </w:r>
    </w:p>
    <w:p w14:paraId="33E38524">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273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82.75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主要包括</w:t>
      </w:r>
      <w:r>
        <w:rPr>
          <w:rFonts w:hint="eastAsia" w:ascii="Times New Roman" w:hAnsi="Times New Roman" w:eastAsia="仿宋_GB2312"/>
          <w:sz w:val="32"/>
          <w:szCs w:val="32"/>
        </w:rPr>
        <w:t>基本工资津贴补贴、奖金、伙食补助费、绩效工资、五险一金、抚恤金、其他工资福利支出、生活补助等;</w:t>
      </w:r>
    </w:p>
    <w:p w14:paraId="574C4D8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56.9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17.25</w:t>
      </w:r>
      <w:r>
        <w:rPr>
          <w:rFonts w:hint="eastAsia" w:ascii="Times New Roman" w:hAnsi="Times New Roman" w:eastAsia="仿宋_GB2312"/>
          <w:sz w:val="32"/>
          <w:szCs w:val="32"/>
        </w:rPr>
        <w:t>%，</w:t>
      </w:r>
      <w:r>
        <w:rPr>
          <w:rFonts w:hint="eastAsia" w:ascii="Times New Roman" w:hAnsi="Times New Roman" w:eastAsia="仿宋_GB2312"/>
          <w:sz w:val="32"/>
          <w:szCs w:val="32"/>
          <w:highlight w:val="none"/>
        </w:rPr>
        <w:t>主要包括</w:t>
      </w:r>
      <w:r>
        <w:rPr>
          <w:rFonts w:hint="eastAsia" w:ascii="Times New Roman" w:hAnsi="Times New Roman" w:eastAsia="仿宋_GB2312"/>
          <w:sz w:val="32"/>
          <w:szCs w:val="32"/>
        </w:rPr>
        <w:t>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水费、电费、维修费、培训费、劳务费、会议费、公务接待费、差旅费、工会经费等。</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64A46D63">
      <w:pPr>
        <w:pStyle w:val="13"/>
        <w:keepNext w:val="0"/>
        <w:keepLines w:val="0"/>
        <w:pageBreakBefore w:val="0"/>
        <w:widowControl w:val="0"/>
        <w:kinsoku/>
        <w:wordWrap/>
        <w:overflowPunct/>
        <w:topLinePunct w:val="0"/>
        <w:bidi w:val="0"/>
        <w:snapToGrid/>
        <w:spacing w:line="60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70B79666">
      <w:pPr>
        <w:pStyle w:val="13"/>
        <w:overflowPunct w:val="0"/>
        <w:autoSpaceDE/>
        <w:autoSpaceDN/>
        <w:spacing w:line="600" w:lineRule="exact"/>
        <w:ind w:firstLine="640" w:firstLineChars="200"/>
        <w:jc w:val="both"/>
        <w:rPr>
          <w:rFonts w:hint="eastAsia" w:ascii="Times New Roman" w:hAnsi="Times New Roman" w:eastAsia="楷体_GB2312" w:cs="Times New Roman"/>
          <w:b/>
          <w:sz w:val="32"/>
          <w:szCs w:val="32"/>
          <w:lang w:val="en-US" w:eastAsia="zh-CN"/>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r>
        <w:rPr>
          <w:rFonts w:hint="eastAsia" w:ascii="Times New Roman" w:hAnsi="Times New Roman" w:eastAsia="楷体_GB2312" w:cs="Times New Roman"/>
          <w:b/>
          <w:sz w:val="32"/>
          <w:szCs w:val="32"/>
          <w:lang w:val="en-US" w:eastAsia="zh-CN"/>
        </w:rPr>
        <w:t xml:space="preserve"> </w:t>
      </w:r>
    </w:p>
    <w:p w14:paraId="650CA79F">
      <w:pPr>
        <w:pStyle w:val="13"/>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6.47</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74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按有关规政策厉行节约，严控“三公经费”支出</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1CF083E8">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无增减变动，主要原因是未安排因公出国（境）活动。</w:t>
      </w:r>
      <w:r>
        <w:rPr>
          <w:rFonts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p>
    <w:p w14:paraId="65978CAB">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w:t>
      </w:r>
      <w:r>
        <w:rPr>
          <w:rFonts w:ascii="Times New Roman" w:hAnsi="Times New Roman" w:eastAsia="仿宋_GB2312" w:cs="Times New Roman"/>
          <w:sz w:val="32"/>
          <w:szCs w:val="32"/>
        </w:rPr>
        <w:t>其中：</w:t>
      </w:r>
    </w:p>
    <w:p w14:paraId="08717EA3">
      <w:pPr>
        <w:pStyle w:val="13"/>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两年均未购置</w:t>
      </w:r>
      <w:r>
        <w:rPr>
          <w:rFonts w:ascii="Times New Roman" w:hAnsi="Times New Roman" w:eastAsia="仿宋_GB2312" w:cs="Times New Roman"/>
          <w:sz w:val="32"/>
          <w:szCs w:val="32"/>
        </w:rPr>
        <w:t>公务用车</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本单位更新公务用车0</w:t>
      </w:r>
      <w:r>
        <w:rPr>
          <w:rFonts w:ascii="Times New Roman" w:hAnsi="Times New Roman" w:eastAsia="仿宋_GB2312" w:cs="Times New Roman"/>
          <w:sz w:val="32"/>
          <w:szCs w:val="32"/>
        </w:rPr>
        <w:t>辆</w:t>
      </w:r>
      <w:r>
        <w:rPr>
          <w:rFonts w:hint="eastAsia" w:ascii="Times New Roman" w:hAnsi="Times New Roman" w:eastAsia="仿宋_GB2312" w:cs="Times New Roman"/>
          <w:sz w:val="32"/>
          <w:szCs w:val="32"/>
          <w:lang w:eastAsia="zh-CN"/>
        </w:rPr>
        <w:t>。</w:t>
      </w:r>
    </w:p>
    <w:p w14:paraId="5796FD0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决算数等于预算数，主要原因是我单位严格按预算执行决算；</w:t>
      </w:r>
      <w:r>
        <w:rPr>
          <w:rFonts w:ascii="Times New Roman" w:hAnsi="Times New Roman" w:eastAsia="仿宋_GB2312" w:cs="Times New Roman"/>
          <w:sz w:val="32"/>
          <w:szCs w:val="32"/>
        </w:rPr>
        <w:t>与上年</w:t>
      </w:r>
      <w:r>
        <w:rPr>
          <w:rFonts w:hint="eastAsia" w:ascii="Times New Roman" w:hAnsi="Times New Roman" w:eastAsia="仿宋_GB2312" w:cs="Times New Roman"/>
          <w:sz w:val="32"/>
          <w:szCs w:val="32"/>
          <w:lang w:val="en-US" w:eastAsia="zh-CN"/>
        </w:rPr>
        <w:t>一致</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无增减变动，主要原因是两年均无公务用车需要运行维护。</w:t>
      </w:r>
      <w:r>
        <w:rPr>
          <w:rFonts w:ascii="Times New Roman" w:hAnsi="Times New Roman" w:eastAsia="仿宋_GB2312" w:cs="Times New Roman"/>
          <w:sz w:val="32"/>
          <w:szCs w:val="32"/>
          <w:highlight w:val="none"/>
        </w:rPr>
        <w:t>截止</w:t>
      </w:r>
      <w:r>
        <w:rPr>
          <w:rFonts w:hint="eastAsia" w:ascii="Times New Roman" w:hAnsi="Times New Roman" w:eastAsia="仿宋_GB2312" w:cs="Times New Roman"/>
          <w:sz w:val="32"/>
          <w:szCs w:val="32"/>
          <w:highlight w:val="none"/>
          <w:lang w:eastAsia="zh-CN"/>
        </w:rPr>
        <w:t>到</w:t>
      </w:r>
      <w:r>
        <w:rPr>
          <w:rFonts w:ascii="Times New Roman" w:hAnsi="Times New Roman" w:eastAsia="仿宋_GB2312" w:cs="Times New Roman"/>
          <w:sz w:val="32"/>
          <w:szCs w:val="32"/>
        </w:rPr>
        <w:t>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039328FA">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ascii="Times New Roman" w:hAnsi="Times New Roman" w:eastAsia="仿宋_GB2312" w:cs="Times New Roman"/>
          <w:sz w:val="32"/>
          <w:szCs w:val="32"/>
        </w:rPr>
        <w:t>公务接待费支出预算为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决算数小于预算数，</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严格执行中央八项规定；</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按有关规政策厉行节约，严控公务接待支出</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59</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628</w:t>
      </w:r>
      <w:r>
        <w:rPr>
          <w:rFonts w:ascii="Times New Roman" w:hAnsi="Times New Roman" w:eastAsia="仿宋_GB2312" w:cs="Times New Roman"/>
          <w:sz w:val="32"/>
          <w:szCs w:val="32"/>
        </w:rPr>
        <w:t>人次</w:t>
      </w:r>
      <w:r>
        <w:rPr>
          <w:rFonts w:hint="eastAsia" w:ascii="Times New Roman" w:hAnsi="Times New Roman" w:eastAsia="仿宋_GB2312"/>
          <w:sz w:val="32"/>
          <w:szCs w:val="32"/>
        </w:rPr>
        <w:t>，主要是</w:t>
      </w:r>
      <w:r>
        <w:rPr>
          <w:rFonts w:hint="eastAsia" w:ascii="Times New Roman" w:hAnsi="Times New Roman" w:eastAsia="仿宋_GB2312"/>
          <w:sz w:val="32"/>
          <w:szCs w:val="32"/>
          <w:lang w:val="en-US" w:eastAsia="zh-CN"/>
        </w:rPr>
        <w:t>全区各大型活动及培训</w:t>
      </w:r>
      <w:r>
        <w:rPr>
          <w:rFonts w:hint="eastAsia" w:ascii="Times New Roman" w:hAnsi="Times New Roman" w:eastAsia="仿宋_GB2312"/>
          <w:sz w:val="32"/>
          <w:szCs w:val="32"/>
        </w:rPr>
        <w:t>发生的接待支出。</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38BA3ACD">
      <w:pPr>
        <w:pStyle w:val="13"/>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56.90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highlight w:val="none"/>
        </w:rPr>
        <w:t>比年上年决算数减少</w:t>
      </w:r>
      <w:r>
        <w:rPr>
          <w:rFonts w:hint="eastAsia" w:ascii="仿宋_GB2312" w:hAnsi="仿宋_GB2312" w:eastAsia="仿宋_GB2312" w:cs="仿宋_GB2312"/>
          <w:sz w:val="32"/>
          <w:szCs w:val="32"/>
          <w:highlight w:val="none"/>
          <w:lang w:val="en-US" w:eastAsia="zh-CN"/>
        </w:rPr>
        <w:t>9.99</w:t>
      </w:r>
      <w:r>
        <w:rPr>
          <w:rFonts w:hint="eastAsia" w:ascii="仿宋_GB2312" w:hAnsi="仿宋_GB2312" w:eastAsia="仿宋_GB2312" w:cs="仿宋_GB2312"/>
          <w:sz w:val="32"/>
          <w:szCs w:val="32"/>
          <w:highlight w:val="none"/>
        </w:rPr>
        <w:t>万元，降低</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2023年</w:t>
      </w:r>
      <w:r>
        <w:rPr>
          <w:rFonts w:hint="eastAsia" w:ascii="Times New Roman" w:hAnsi="Times New Roman" w:eastAsia="仿宋_GB2312"/>
          <w:sz w:val="32"/>
          <w:szCs w:val="32"/>
          <w:lang w:val="en-US" w:eastAsia="zh-CN"/>
        </w:rPr>
        <w:t>纳入区教育体育局本级决算的项目，2024年纳入了学校的部门决算数里，如学校保安工资、其他财政负担人员工资福利支出、图仪信息技术费教育助学励耕计划资助、中小学民办教师和代课教师生活困难补助资金、班主任费、“三区”教师专项资金等。</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681ABB77">
      <w:pPr>
        <w:pStyle w:val="13"/>
        <w:ind w:firstLine="640" w:firstLineChars="200"/>
        <w:rPr>
          <w:rFonts w:hint="eastAsia" w:ascii="Times New Roman" w:hAnsi="Times New Roman" w:eastAsia="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年度，会议费年初预算6万元，支出决算为5万元，完成年初预算的83%。</w:t>
      </w:r>
      <w:r>
        <w:rPr>
          <w:rFonts w:hint="eastAsia" w:ascii="Times New Roman" w:hAnsi="Times New Roman" w:eastAsia="仿宋_GB2312"/>
          <w:color w:val="auto"/>
          <w:sz w:val="32"/>
          <w:szCs w:val="32"/>
        </w:rPr>
        <w:t>用于召开</w:t>
      </w:r>
      <w:r>
        <w:rPr>
          <w:rFonts w:hint="eastAsia" w:ascii="Times New Roman" w:hAnsi="Times New Roman" w:eastAsia="仿宋_GB2312"/>
          <w:color w:val="auto"/>
          <w:sz w:val="32"/>
          <w:szCs w:val="32"/>
          <w:lang w:val="en-US" w:eastAsia="zh-CN"/>
        </w:rPr>
        <w:t>局</w:t>
      </w:r>
      <w:r>
        <w:rPr>
          <w:rFonts w:hint="eastAsia" w:ascii="Times New Roman" w:hAnsi="Times New Roman" w:eastAsia="仿宋_GB2312"/>
          <w:sz w:val="32"/>
          <w:szCs w:val="32"/>
          <w:lang w:val="en-US" w:eastAsia="zh-CN"/>
        </w:rPr>
        <w:t>本级</w:t>
      </w:r>
      <w:r>
        <w:rPr>
          <w:rFonts w:hint="eastAsia" w:ascii="Times New Roman" w:hAnsi="Times New Roman" w:eastAsia="仿宋_GB2312"/>
          <w:sz w:val="32"/>
          <w:szCs w:val="32"/>
        </w:rPr>
        <w:t>会议，人数</w:t>
      </w:r>
      <w:r>
        <w:rPr>
          <w:rFonts w:hint="eastAsia" w:ascii="Times New Roman" w:hAnsi="Times New Roman" w:eastAsia="仿宋_GB2312"/>
          <w:sz w:val="32"/>
          <w:szCs w:val="32"/>
          <w:lang w:val="en-US" w:eastAsia="zh-CN"/>
        </w:rPr>
        <w:t>319</w:t>
      </w:r>
      <w:r>
        <w:rPr>
          <w:rFonts w:hint="eastAsia" w:ascii="Times New Roman" w:hAnsi="Times New Roman" w:eastAsia="仿宋_GB2312"/>
          <w:sz w:val="32"/>
          <w:szCs w:val="32"/>
        </w:rPr>
        <w:t>人，内容为教师节活动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教育乱收费整治</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中小学运动会等会议；</w:t>
      </w:r>
    </w:p>
    <w:p w14:paraId="52627F30">
      <w:pPr>
        <w:pStyle w:val="13"/>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bidi="ar-SA"/>
        </w:rPr>
        <w:t>培训费年初预算22万元，支出决算为20.86万元，完成年初预算的94.82%。</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val="en-US" w:eastAsia="zh-CN"/>
        </w:rPr>
        <w:t>教师</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1200</w:t>
      </w:r>
      <w:r>
        <w:rPr>
          <w:rFonts w:hint="eastAsia" w:ascii="Times New Roman" w:hAnsi="Times New Roman" w:eastAsia="仿宋_GB2312"/>
          <w:sz w:val="32"/>
          <w:szCs w:val="32"/>
        </w:rPr>
        <w:t>人</w:t>
      </w:r>
      <w:r>
        <w:rPr>
          <w:rFonts w:hint="eastAsia" w:ascii="Times New Roman" w:hAnsi="Times New Roman" w:eastAsia="仿宋_GB2312"/>
          <w:sz w:val="32"/>
          <w:szCs w:val="32"/>
          <w:lang w:val="en-US" w:eastAsia="zh-CN"/>
        </w:rPr>
        <w:t>次</w:t>
      </w:r>
      <w:r>
        <w:rPr>
          <w:rFonts w:hint="eastAsia" w:ascii="Times New Roman" w:hAnsi="Times New Roman" w:eastAsia="仿宋_GB2312"/>
          <w:sz w:val="32"/>
          <w:szCs w:val="32"/>
        </w:rPr>
        <w:t>，内容为省级、市级、区级教师培训；还有一些一般性正常支出等各项费用，都是用于局机关运行经费</w:t>
      </w:r>
      <w:r>
        <w:rPr>
          <w:rFonts w:hint="eastAsia" w:ascii="Times New Roman" w:hAnsi="Times New Roman" w:eastAsia="仿宋_GB2312"/>
          <w:sz w:val="32"/>
          <w:szCs w:val="32"/>
          <w:lang w:eastAsia="zh-CN"/>
        </w:rPr>
        <w:t>。</w:t>
      </w:r>
    </w:p>
    <w:p w14:paraId="39C2EAB5">
      <w:pPr>
        <w:widowControl w:val="0"/>
        <w:autoSpaceDE w:val="0"/>
        <w:autoSpaceDN w:val="0"/>
        <w:adjustRightInd w:val="0"/>
        <w:ind w:firstLine="640" w:firstLineChars="200"/>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举办节庆、晚会、论坛、赛事活动年初预算0万元，支出决算为0万元。</w:t>
      </w:r>
    </w:p>
    <w:p w14:paraId="25C5F16F">
      <w:pPr>
        <w:pStyle w:val="2"/>
        <w:rPr>
          <w:rFonts w:hint="eastAsia"/>
          <w:lang w:val="en-US" w:eastAsia="zh-CN"/>
        </w:rPr>
      </w:pP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4313B14E">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58.31</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35.91</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22.4</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58.31</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41.91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71.88</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37C9D953">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截至202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年12月31日，</w:t>
      </w:r>
      <w:r>
        <w:rPr>
          <w:rFonts w:hint="eastAsia" w:ascii="仿宋_GB2312" w:hAnsi="仿宋_GB2312" w:eastAsia="仿宋_GB2312" w:cs="仿宋_GB2312"/>
          <w:color w:val="auto"/>
          <w:sz w:val="32"/>
          <w:szCs w:val="32"/>
          <w:lang w:eastAsia="zh-CN"/>
        </w:rPr>
        <w:t>部门（单位）</w:t>
      </w:r>
      <w:r>
        <w:rPr>
          <w:rFonts w:hint="eastAsia" w:ascii="仿宋_GB2312" w:hAnsi="仿宋_GB2312" w:eastAsia="仿宋_GB2312" w:cs="仿宋_GB2312"/>
          <w:color w:val="auto"/>
          <w:sz w:val="32"/>
          <w:szCs w:val="32"/>
        </w:rPr>
        <w:t>共有车辆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辆，其中</w:t>
      </w:r>
      <w:r>
        <w:rPr>
          <w:rFonts w:hint="eastAsia" w:ascii="仿宋_GB2312" w:hAnsi="仿宋_GB2312" w:eastAsia="仿宋_GB2312" w:cs="仿宋_GB2312"/>
          <w:color w:val="auto"/>
          <w:sz w:val="32"/>
          <w:szCs w:val="32"/>
          <w:lang w:eastAsia="zh-CN"/>
        </w:rPr>
        <w:t>，副部（省）级及以上领导用车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w:t>
      </w:r>
      <w:r>
        <w:rPr>
          <w:rFonts w:hint="eastAsia" w:ascii="仿宋_GB2312" w:hAnsi="仿宋_GB2312" w:eastAsia="仿宋_GB2312" w:cs="仿宋_GB2312"/>
          <w:color w:val="auto"/>
          <w:sz w:val="32"/>
          <w:szCs w:val="32"/>
          <w:lang w:eastAsia="zh-CN"/>
        </w:rPr>
        <w:t>负责人</w:t>
      </w:r>
      <w:r>
        <w:rPr>
          <w:rFonts w:hint="eastAsia" w:ascii="仿宋_GB2312" w:hAnsi="仿宋_GB2312" w:eastAsia="仿宋_GB2312" w:cs="仿宋_GB2312"/>
          <w:color w:val="auto"/>
          <w:sz w:val="32"/>
          <w:szCs w:val="32"/>
        </w:rPr>
        <w:t>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机要通信用车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辆、应急保障用车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辆、执法执勤用车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辆、特种专业技术用车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离退休干部服务用车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辆、其他用车</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单位价值100万元以上设备</w:t>
      </w:r>
      <w:r>
        <w:rPr>
          <w:rFonts w:hint="eastAsia" w:ascii="仿宋_GB2312" w:hAnsi="仿宋_GB2312" w:eastAsia="仿宋_GB2312" w:cs="仿宋_GB2312"/>
          <w:color w:val="auto"/>
          <w:sz w:val="32"/>
          <w:szCs w:val="32"/>
          <w:lang w:eastAsia="zh-CN"/>
        </w:rPr>
        <w:t>（不含车辆）</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台（套）。</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3E139A5D">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3E18390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根据预</w:t>
      </w:r>
      <w:r>
        <w:rPr>
          <w:rFonts w:hint="eastAsia" w:ascii="Times New Roman" w:hAnsi="Times New Roman" w:eastAsia="仿宋_GB2312"/>
          <w:color w:val="auto"/>
          <w:sz w:val="32"/>
          <w:szCs w:val="32"/>
        </w:rPr>
        <w:t>算绩效管理要求，我部门组织对区教育体育局等1个单位开展整体支出绩效评价涉及一般公共预算支出</w:t>
      </w:r>
      <w:r>
        <w:rPr>
          <w:rFonts w:hint="eastAsia" w:ascii="Times New Roman" w:hAnsi="Times New Roman" w:eastAsia="仿宋_GB2312"/>
          <w:color w:val="auto"/>
          <w:sz w:val="32"/>
          <w:szCs w:val="32"/>
          <w:lang w:val="en-US" w:eastAsia="zh-CN"/>
        </w:rPr>
        <w:t>7193.42</w:t>
      </w:r>
      <w:r>
        <w:rPr>
          <w:rFonts w:hint="eastAsia" w:ascii="Times New Roman" w:hAnsi="Times New Roman" w:eastAsia="仿宋_GB2312"/>
          <w:color w:val="auto"/>
          <w:sz w:val="32"/>
          <w:szCs w:val="32"/>
        </w:rPr>
        <w:t>万元，政府性基金预算支出0万元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国有资本经营预算支出0万元。从评价来看，单位整体绩效管理情况均为优秀，能够及时完成年初预算绩效目标。单位整体绩效支出决策、执行过程、产出及效益情况均符合绩效管理相关规定。</w:t>
      </w:r>
    </w:p>
    <w:p w14:paraId="51945E7F">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组织对202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年度一般公共预算项目支出全面开展绩效自评，其中，一级项目</w:t>
      </w:r>
      <w:r>
        <w:rPr>
          <w:rFonts w:hint="eastAsia" w:ascii="Times New Roman" w:hAnsi="Times New Roman" w:eastAsia="仿宋_GB2312"/>
          <w:color w:val="auto"/>
          <w:sz w:val="32"/>
          <w:szCs w:val="32"/>
          <w:lang w:val="en-US" w:eastAsia="zh-CN"/>
        </w:rPr>
        <w:t>27</w:t>
      </w:r>
      <w:r>
        <w:rPr>
          <w:rFonts w:hint="eastAsia" w:ascii="Times New Roman" w:hAnsi="Times New Roman" w:eastAsia="仿宋_GB2312"/>
          <w:color w:val="auto"/>
          <w:sz w:val="32"/>
          <w:szCs w:val="32"/>
        </w:rPr>
        <w:t>个，二级项目0个，共涉及资金</w:t>
      </w:r>
      <w:r>
        <w:rPr>
          <w:rFonts w:hint="eastAsia" w:ascii="Times New Roman" w:hAnsi="Times New Roman" w:eastAsia="仿宋_GB2312"/>
          <w:color w:val="auto"/>
          <w:sz w:val="32"/>
          <w:szCs w:val="32"/>
          <w:lang w:val="en-US" w:eastAsia="zh-CN"/>
        </w:rPr>
        <w:t>1817.01</w:t>
      </w:r>
      <w:r>
        <w:rPr>
          <w:rFonts w:hint="eastAsia" w:ascii="Times New Roman" w:hAnsi="Times New Roman" w:eastAsia="仿宋_GB2312"/>
          <w:color w:val="auto"/>
          <w:sz w:val="32"/>
          <w:szCs w:val="32"/>
        </w:rPr>
        <w:t>万元。</w:t>
      </w:r>
    </w:p>
    <w:p w14:paraId="6BE7466E">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lang w:val="en-US" w:eastAsia="zh-CN"/>
        </w:rPr>
        <w:t>二</w:t>
      </w:r>
      <w:r>
        <w:rPr>
          <w:rFonts w:hint="eastAsia" w:ascii="楷体" w:hAnsi="楷体" w:eastAsia="楷体" w:cs="楷体"/>
          <w:b/>
          <w:bCs/>
          <w:color w:val="auto"/>
          <w:sz w:val="32"/>
          <w:szCs w:val="32"/>
          <w:lang w:eastAsia="zh-CN"/>
        </w:rPr>
        <w:t>）</w:t>
      </w:r>
      <w:r>
        <w:rPr>
          <w:rFonts w:hint="eastAsia" w:ascii="楷体" w:hAnsi="楷体" w:eastAsia="楷体" w:cs="楷体"/>
          <w:b/>
          <w:bCs/>
          <w:color w:val="auto"/>
          <w:sz w:val="32"/>
          <w:szCs w:val="32"/>
        </w:rPr>
        <w:t>部门整体支出绩效情况</w:t>
      </w:r>
    </w:p>
    <w:p w14:paraId="035EF67D">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根据预算绩效管理要求，我部门组织对区教育体育局等1个单位开展整体支出绩效评价涉及一般公共预算支出</w:t>
      </w:r>
      <w:r>
        <w:rPr>
          <w:rFonts w:hint="eastAsia" w:ascii="Times New Roman" w:hAnsi="Times New Roman" w:eastAsia="仿宋_GB2312"/>
          <w:color w:val="auto"/>
          <w:sz w:val="32"/>
          <w:szCs w:val="32"/>
          <w:lang w:val="en-US" w:eastAsia="zh-CN"/>
        </w:rPr>
        <w:t>7193.42</w:t>
      </w:r>
      <w:r>
        <w:rPr>
          <w:rFonts w:hint="eastAsia" w:ascii="Times New Roman" w:hAnsi="Times New Roman" w:eastAsia="仿宋_GB2312"/>
          <w:color w:val="auto"/>
          <w:sz w:val="32"/>
          <w:szCs w:val="32"/>
        </w:rPr>
        <w:t>万元，政府性基金预算支出0万元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国有资本经营预算支出0万元。</w:t>
      </w:r>
    </w:p>
    <w:p w14:paraId="3F5D7A0A">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lang w:eastAsia="zh-CN"/>
        </w:rPr>
        <w:t>）</w:t>
      </w:r>
      <w:r>
        <w:rPr>
          <w:rFonts w:hint="eastAsia" w:ascii="楷体" w:hAnsi="楷体" w:eastAsia="楷体" w:cs="楷体"/>
          <w:b/>
          <w:bCs/>
          <w:sz w:val="32"/>
          <w:szCs w:val="32"/>
        </w:rPr>
        <w:t>存在的问题及原因分析</w:t>
      </w:r>
    </w:p>
    <w:p w14:paraId="08B28DA9">
      <w:pPr>
        <w:pStyle w:val="13"/>
        <w:jc w:val="left"/>
        <w:rPr>
          <w:rFonts w:hint="eastAsia" w:ascii="Times New Roman" w:hAnsi="Times New Roman" w:eastAsia="仿宋_GB2312"/>
          <w:color w:val="auto"/>
          <w:sz w:val="32"/>
          <w:szCs w:val="32"/>
        </w:rPr>
      </w:pPr>
      <w:r>
        <w:rPr>
          <w:rFonts w:hint="eastAsia" w:ascii="宋体" w:hAnsi="宋体" w:eastAsia="宋体" w:cs="宋体"/>
          <w:sz w:val="24"/>
          <w:szCs w:val="24"/>
          <w:lang w:val="en-US" w:eastAsia="zh-CN"/>
        </w:rPr>
        <w:t xml:space="preserve">       </w:t>
      </w:r>
      <w:r>
        <w:rPr>
          <w:rFonts w:ascii="宋体" w:hAnsi="宋体" w:eastAsia="宋体" w:cs="宋体"/>
          <w:sz w:val="24"/>
          <w:szCs w:val="24"/>
        </w:rPr>
        <w:t>1</w:t>
      </w:r>
      <w:r>
        <w:rPr>
          <w:rFonts w:hint="eastAsia" w:ascii="Times New Roman" w:hAnsi="Times New Roman" w:eastAsia="仿宋_GB2312"/>
          <w:color w:val="auto"/>
          <w:sz w:val="32"/>
          <w:szCs w:val="32"/>
        </w:rPr>
        <w:t>、组织保障尚待强化</w:t>
      </w:r>
    </w:p>
    <w:p w14:paraId="17426FA1">
      <w:pPr>
        <w:pStyle w:val="13"/>
        <w:jc w:val="center"/>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 xml:space="preserve"> </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由于区</w:t>
      </w:r>
      <w:r>
        <w:rPr>
          <w:rFonts w:hint="eastAsia" w:ascii="Times New Roman" w:hAnsi="Times New Roman" w:eastAsia="仿宋_GB2312"/>
          <w:color w:val="auto"/>
          <w:sz w:val="32"/>
          <w:szCs w:val="32"/>
          <w:lang w:val="en-US" w:eastAsia="zh-CN"/>
        </w:rPr>
        <w:t>教育体育局</w:t>
      </w:r>
      <w:r>
        <w:rPr>
          <w:rFonts w:hint="eastAsia" w:ascii="Times New Roman" w:hAnsi="Times New Roman" w:eastAsia="仿宋_GB2312"/>
          <w:color w:val="auto"/>
          <w:sz w:val="32"/>
          <w:szCs w:val="32"/>
        </w:rPr>
        <w:t>人员紧缺、绩效工作专业性强等因素，机构人员配备</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不全，缺少专业人员指导培训，有一人身兼多职的情况，虽能保障绩效工</w:t>
      </w:r>
      <w:r>
        <w:rPr>
          <w:rFonts w:hint="eastAsia" w:ascii="Times New Roman" w:hAnsi="Times New Roman" w:eastAsia="仿宋_GB2312"/>
          <w:color w:val="auto"/>
          <w:sz w:val="32"/>
          <w:szCs w:val="32"/>
          <w:lang w:val="en-US" w:eastAsia="zh-CN"/>
        </w:rPr>
        <w:t>作</w:t>
      </w:r>
      <w:r>
        <w:rPr>
          <w:rFonts w:hint="eastAsia" w:ascii="Times New Roman" w:hAnsi="Times New Roman" w:eastAsia="仿宋_GB2312"/>
          <w:color w:val="auto"/>
          <w:sz w:val="32"/>
          <w:szCs w:val="32"/>
        </w:rPr>
        <w:t>的有序进行，但影响了绩效工作的时效性以及整体绩效评估的优质性。</w:t>
      </w:r>
    </w:p>
    <w:p w14:paraId="564864E0">
      <w:pPr>
        <w:pStyle w:val="13"/>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 xml:space="preserve">2、制度体系尚待健全 </w:t>
      </w:r>
    </w:p>
    <w:p w14:paraId="51EB97B9">
      <w:pPr>
        <w:pStyle w:val="13"/>
        <w:jc w:val="left"/>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区</w:t>
      </w:r>
      <w:r>
        <w:rPr>
          <w:rFonts w:hint="eastAsia" w:ascii="Times New Roman" w:hAnsi="Times New Roman" w:eastAsia="仿宋_GB2312"/>
          <w:color w:val="auto"/>
          <w:sz w:val="32"/>
          <w:szCs w:val="32"/>
          <w:lang w:val="en-US" w:eastAsia="zh-CN"/>
        </w:rPr>
        <w:t>教育体育局</w:t>
      </w:r>
      <w:r>
        <w:rPr>
          <w:rFonts w:hint="eastAsia" w:ascii="Times New Roman" w:hAnsi="Times New Roman" w:eastAsia="仿宋_GB2312"/>
          <w:color w:val="auto"/>
          <w:sz w:val="32"/>
          <w:szCs w:val="32"/>
        </w:rPr>
        <w:t>在规范绩效目标、绩效跟踪、绩效评价、结果运用等各项管理制度，和财政局绩效管理与预算编制、执行、监督的衔接方面还有待进一步加强，本部门预算绩效管理制度和操作流程与财政局</w:t>
      </w:r>
      <w:r>
        <w:rPr>
          <w:rFonts w:hint="eastAsia" w:ascii="Times New Roman" w:hAnsi="Times New Roman" w:eastAsia="仿宋_GB2312"/>
          <w:color w:val="auto"/>
          <w:sz w:val="32"/>
          <w:szCs w:val="32"/>
          <w:lang w:val="en-US" w:eastAsia="zh-CN"/>
        </w:rPr>
        <w:t>的</w:t>
      </w:r>
      <w:r>
        <w:rPr>
          <w:rFonts w:hint="eastAsia" w:ascii="Times New Roman" w:hAnsi="Times New Roman" w:eastAsia="仿宋_GB2312"/>
          <w:color w:val="auto"/>
          <w:sz w:val="32"/>
          <w:szCs w:val="32"/>
        </w:rPr>
        <w:t>相关规定相比较，还存在一定的差距。</w:t>
      </w:r>
    </w:p>
    <w:p w14:paraId="775D766F">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01932365">
      <w:pPr>
        <w:pStyle w:val="2"/>
        <w:rPr>
          <w:rFonts w:hint="eastAsia" w:ascii="楷体" w:hAnsi="楷体" w:eastAsia="楷体" w:cs="楷体"/>
          <w:b/>
          <w:bCs/>
          <w:i w:val="0"/>
          <w:iCs w:val="0"/>
          <w:color w:val="FF0000"/>
          <w:kern w:val="0"/>
          <w:sz w:val="36"/>
          <w:szCs w:val="36"/>
          <w:lang w:val="en-US" w:eastAsia="zh-CN"/>
        </w:rPr>
      </w:pPr>
    </w:p>
    <w:p w14:paraId="29B4563F">
      <w:pPr>
        <w:pStyle w:val="3"/>
        <w:rPr>
          <w:rFonts w:hint="eastAsia" w:ascii="楷体" w:hAnsi="楷体" w:eastAsia="楷体" w:cs="楷体"/>
          <w:b/>
          <w:bCs/>
          <w:i w:val="0"/>
          <w:iCs w:val="0"/>
          <w:color w:val="FF0000"/>
          <w:kern w:val="0"/>
          <w:sz w:val="36"/>
          <w:szCs w:val="36"/>
          <w:lang w:val="en-US" w:eastAsia="zh-CN"/>
        </w:rPr>
      </w:pPr>
    </w:p>
    <w:p w14:paraId="77AD6266">
      <w:pPr>
        <w:rPr>
          <w:rFonts w:hint="eastAsia" w:ascii="楷体" w:hAnsi="楷体" w:eastAsia="楷体" w:cs="楷体"/>
          <w:b/>
          <w:bCs/>
          <w:i w:val="0"/>
          <w:iCs w:val="0"/>
          <w:color w:val="FF0000"/>
          <w:kern w:val="0"/>
          <w:sz w:val="36"/>
          <w:szCs w:val="36"/>
          <w:lang w:val="en-US" w:eastAsia="zh-CN"/>
        </w:rPr>
      </w:pPr>
    </w:p>
    <w:p w14:paraId="440F7ABE">
      <w:pPr>
        <w:pStyle w:val="2"/>
        <w:rPr>
          <w:rFonts w:hint="eastAsia" w:ascii="楷体" w:hAnsi="楷体" w:eastAsia="楷体" w:cs="楷体"/>
          <w:b/>
          <w:bCs/>
          <w:i w:val="0"/>
          <w:iCs w:val="0"/>
          <w:color w:val="FF0000"/>
          <w:kern w:val="0"/>
          <w:sz w:val="36"/>
          <w:szCs w:val="36"/>
          <w:lang w:val="en-US" w:eastAsia="zh-CN"/>
        </w:rPr>
      </w:pPr>
    </w:p>
    <w:p w14:paraId="20755171">
      <w:pPr>
        <w:pStyle w:val="3"/>
        <w:rPr>
          <w:rFonts w:hint="eastAsia" w:ascii="楷体" w:hAnsi="楷体" w:eastAsia="楷体" w:cs="楷体"/>
          <w:b/>
          <w:bCs/>
          <w:i w:val="0"/>
          <w:iCs w:val="0"/>
          <w:color w:val="FF0000"/>
          <w:kern w:val="0"/>
          <w:sz w:val="36"/>
          <w:szCs w:val="36"/>
          <w:lang w:val="en-US" w:eastAsia="zh-CN"/>
        </w:rPr>
      </w:pPr>
    </w:p>
    <w:p w14:paraId="56EF84C6">
      <w:pPr>
        <w:rPr>
          <w:rFonts w:hint="eastAsia" w:ascii="楷体" w:hAnsi="楷体" w:eastAsia="楷体" w:cs="楷体"/>
          <w:b/>
          <w:bCs/>
          <w:i w:val="0"/>
          <w:iCs w:val="0"/>
          <w:color w:val="FF0000"/>
          <w:kern w:val="0"/>
          <w:sz w:val="36"/>
          <w:szCs w:val="36"/>
          <w:lang w:val="en-US" w:eastAsia="zh-CN"/>
        </w:rPr>
      </w:pPr>
    </w:p>
    <w:p w14:paraId="4F6F6DF0">
      <w:pPr>
        <w:pStyle w:val="2"/>
        <w:rPr>
          <w:rFonts w:hint="eastAsia" w:ascii="楷体" w:hAnsi="楷体" w:eastAsia="楷体" w:cs="楷体"/>
          <w:b/>
          <w:bCs/>
          <w:i w:val="0"/>
          <w:iCs w:val="0"/>
          <w:color w:val="FF0000"/>
          <w:kern w:val="0"/>
          <w:sz w:val="36"/>
          <w:szCs w:val="36"/>
          <w:lang w:val="en-US" w:eastAsia="zh-CN"/>
        </w:rPr>
      </w:pPr>
    </w:p>
    <w:p w14:paraId="04D4704B">
      <w:pPr>
        <w:pStyle w:val="3"/>
        <w:rPr>
          <w:rFonts w:hint="eastAsia" w:ascii="楷体" w:hAnsi="楷体" w:eastAsia="楷体" w:cs="楷体"/>
          <w:b/>
          <w:bCs/>
          <w:i w:val="0"/>
          <w:iCs w:val="0"/>
          <w:color w:val="FF0000"/>
          <w:kern w:val="0"/>
          <w:sz w:val="36"/>
          <w:szCs w:val="36"/>
          <w:lang w:val="en-US" w:eastAsia="zh-CN"/>
        </w:rPr>
      </w:pPr>
    </w:p>
    <w:p w14:paraId="4653C263">
      <w:pPr>
        <w:rPr>
          <w:rFonts w:hint="eastAsia" w:ascii="楷体" w:hAnsi="楷体" w:eastAsia="楷体" w:cs="楷体"/>
          <w:b/>
          <w:bCs/>
          <w:i w:val="0"/>
          <w:iCs w:val="0"/>
          <w:color w:val="FF0000"/>
          <w:kern w:val="0"/>
          <w:sz w:val="36"/>
          <w:szCs w:val="36"/>
          <w:lang w:val="en-US" w:eastAsia="zh-CN"/>
        </w:rPr>
      </w:pPr>
    </w:p>
    <w:p w14:paraId="06F0FBD2">
      <w:pPr>
        <w:pStyle w:val="2"/>
        <w:rPr>
          <w:rFonts w:hint="eastAsia" w:ascii="楷体" w:hAnsi="楷体" w:eastAsia="楷体" w:cs="楷体"/>
          <w:b/>
          <w:bCs/>
          <w:i w:val="0"/>
          <w:iCs w:val="0"/>
          <w:color w:val="FF0000"/>
          <w:kern w:val="0"/>
          <w:sz w:val="36"/>
          <w:szCs w:val="36"/>
          <w:lang w:val="en-US" w:eastAsia="zh-CN"/>
        </w:rPr>
      </w:pPr>
    </w:p>
    <w:p w14:paraId="75A876FD">
      <w:pPr>
        <w:pStyle w:val="3"/>
        <w:rPr>
          <w:rFonts w:hint="eastAsia" w:ascii="楷体" w:hAnsi="楷体" w:eastAsia="楷体" w:cs="楷体"/>
          <w:b/>
          <w:bCs/>
          <w:i w:val="0"/>
          <w:iCs w:val="0"/>
          <w:color w:val="FF0000"/>
          <w:kern w:val="0"/>
          <w:sz w:val="36"/>
          <w:szCs w:val="36"/>
          <w:lang w:val="en-US" w:eastAsia="zh-CN"/>
        </w:rPr>
      </w:pPr>
    </w:p>
    <w:p w14:paraId="511311EF">
      <w:pPr>
        <w:rPr>
          <w:rFonts w:hint="eastAsia"/>
          <w:lang w:val="en-US" w:eastAsia="zh-CN"/>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7A5FBCCA">
      <w:pPr>
        <w:pStyle w:val="3"/>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3540815A">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一、财政拨款收入：指本级财政当年拨付的资金。</w:t>
      </w:r>
    </w:p>
    <w:p w14:paraId="4DB8296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二、事业收入：指事业单位开展专业业务活动及辅助活动所取得的收入。</w:t>
      </w:r>
    </w:p>
    <w:p w14:paraId="67BB289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三、其他收入：指除上述“财政拨款收入”、“上级补助收入”、“事业收入”、“经营收入”、“附属单位上缴收入”等以外的收入。</w:t>
      </w:r>
    </w:p>
    <w:p w14:paraId="71698B6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四、上年结转和结余：指以前年度尚未完成、结转到本年按有关规定继续使用的资金。</w:t>
      </w:r>
    </w:p>
    <w:p w14:paraId="242914E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五、年末结转和结余资金：指本年度或以前年度预算安排、因客观条件发生变化无法按原计划实施，需要延迟到以后年度按有关规定继续使用的资金。</w:t>
      </w:r>
    </w:p>
    <w:p w14:paraId="7F934818">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Theme="minorEastAsia" w:hAnsiTheme="minorEastAsia" w:cstheme="minorEastAsia"/>
          <w:color w:val="000000"/>
          <w:kern w:val="0"/>
          <w:sz w:val="28"/>
          <w:szCs w:val="28"/>
          <w:lang w:eastAsia="zh-CN"/>
        </w:rPr>
        <w:t>。</w:t>
      </w:r>
    </w:p>
    <w:p w14:paraId="22BE52D7">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七、教育支出（类）：是指用于政府教育事务支出，包括保障机构正常运转、完成日常和特定的工作任务或事业发展目标的支出。</w:t>
      </w:r>
    </w:p>
    <w:p w14:paraId="6ACADF0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八、科学技术支出（类）：是指用于科学技术方面的支出，包括保障机构正常运转、完成日常和特定的工作任务或事业发展目标的支出。</w:t>
      </w:r>
    </w:p>
    <w:p w14:paraId="5E2AC7BA">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九、文化体育与传媒支出（类）：是指用于文化、文物、体育、新闻出版广播影视等方面的支出，包括保障机构正常运转、完成日常和特定的工作任务或事业发展目标的支出。</w:t>
      </w:r>
    </w:p>
    <w:p w14:paraId="40718C4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02E5821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十一、医疗卫生与计划生育支出（类）：是指用于医疗卫生与计划生育方面的支出，包括保障机构正常运转、完成日常和特定的工作任务或事业发展目标的支出。</w:t>
      </w:r>
    </w:p>
    <w:p w14:paraId="0EDE9B1E">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十二、城乡社区支出（类）：是指用于城乡社区事务支出，包括保障机构正常运转、完成日常和特定的工作任务或事业发展目标的支出。</w:t>
      </w:r>
    </w:p>
    <w:p w14:paraId="54F5B98A">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十三、住房保障支出（类）：是指用于住房方面的支出，包括保障机构正常运转、完成日常和特定的工作任务或事业发展目标的支出。</w:t>
      </w:r>
    </w:p>
    <w:p w14:paraId="25E72AA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十四、基本支出：指保障机构正常运转、完成支日常工作任务而发生的人员支出和公用支出。</w:t>
      </w:r>
    </w:p>
    <w:p w14:paraId="755240A7">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十五、项目支出：指在基本支出之外为完成特定行政任务和事业发展目标所发生的支出。</w:t>
      </w:r>
    </w:p>
    <w:p w14:paraId="720920A2">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Theme="minorEastAsia" w:hAnsiTheme="minorEastAsia" w:cstheme="minorEastAsia"/>
          <w:color w:val="000000"/>
          <w:kern w:val="0"/>
          <w:sz w:val="28"/>
          <w:szCs w:val="28"/>
          <w:lang w:eastAsia="zh-CN"/>
        </w:rPr>
        <w:t>。</w:t>
      </w:r>
    </w:p>
    <w:p w14:paraId="298D538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6D8D0A6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十八、工资福利支出：反映单位开支的在职职工和编制外长期聘用人员的各类劳动报酬，以及为上述人员缴纳的各项社会保险费等。</w:t>
      </w:r>
    </w:p>
    <w:p w14:paraId="5FF4D36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十九、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w:t>
      </w:r>
    </w:p>
    <w:p w14:paraId="5F51764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二十、津贴补贴：反映经国家批准建立的机关事业单位艰苦边远地区津贴、机关工作人员地区附加津贴、机关工作人员岗位津贴、事业单位工作人员特殊岗位津贴补贴等。</w:t>
      </w:r>
    </w:p>
    <w:p w14:paraId="03272B7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二十一、奖金：反映机关工作人员年终一次性奖金。</w:t>
      </w:r>
    </w:p>
    <w:p w14:paraId="4FFDA44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二十二、其他社会保障缴费：反映单位为职工缴纳的基本医疗、失业、工伤、生育等社会保险费，残疾人就业保障金，军队（含武警）为军人缴纳的伤亡、退役医疗等社会保险费。</w:t>
      </w:r>
    </w:p>
    <w:p w14:paraId="50BEB0D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二十三、伙食补助费：反映单位发给职工的伙食补助费，如误餐补助等。</w:t>
      </w:r>
    </w:p>
    <w:p w14:paraId="2FFBFF5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二十四、绩效工资：反映事业单位工作人员的绩效工资。</w:t>
      </w:r>
    </w:p>
    <w:p w14:paraId="45AFB2B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二十五、机关事业单位基本养老保险缴费：反映机关事业单位缴纳的基本养老保险费。由单位代扣的工作人员基本养老保险缴费，不在此科目反映。</w:t>
      </w:r>
    </w:p>
    <w:p w14:paraId="7E23CA3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二十六、职业年金缴费：反映机关事业单位实际缴纳的职业年金支出。由单位代扣的工作人员职业年金缴费，不在此科目反映。</w:t>
      </w:r>
    </w:p>
    <w:p w14:paraId="2D2C0A3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1DB42D9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二十八、商品和服务支出：反映单位购买商品和服务的支出（不包括用于购置固定资产的支出、战略性和应急储备支出）。</w:t>
      </w:r>
    </w:p>
    <w:p w14:paraId="3214A21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二十九、办公费：反映单位购买按财务会计制度规定不符合固定资产确认标准的日常办公用品、书报杂志等支出。</w:t>
      </w:r>
    </w:p>
    <w:p w14:paraId="106EBD5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三十、印刷费：反映单位的印刷费支出。</w:t>
      </w:r>
    </w:p>
    <w:p w14:paraId="19C7127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三十一、咨询费：反映单位咨询方面的支出。</w:t>
      </w:r>
    </w:p>
    <w:p w14:paraId="14648D0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三十二、手续费：反映单位支付的各类手续费支出。</w:t>
      </w:r>
    </w:p>
    <w:p w14:paraId="1EC5AB6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三十三、水费：反映单位支付的水费、污水处理费等支出。</w:t>
      </w:r>
    </w:p>
    <w:p w14:paraId="118761B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三十四、电费：反映单位的电费支出。</w:t>
      </w:r>
    </w:p>
    <w:p w14:paraId="7A89295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三十五、邮电费：反映单位开支的信函、包裹、货物等物品的邮寄费及电话费、电报费、传真费、网络通讯费等。</w:t>
      </w:r>
    </w:p>
    <w:p w14:paraId="2548681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三十六、物业管理费：反映单位开支的办公用房以及未实行职工住宅物业服务改革的在职职工和离退休人员宿舍等的物业管理费，包括综合治理、绿化、卫生等方面的支出。</w:t>
      </w:r>
    </w:p>
    <w:p w14:paraId="25DA52D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三十七、差旅费：反映单位工作人员出差发生的城市间交通费、住宿费、伙食补贴费和市内交通费。</w:t>
      </w:r>
    </w:p>
    <w:p w14:paraId="01E6EC69">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三十八、因公出国（境）费用：反映单位公务出国(境)的住宿费、旅费、伙食补助费、杂费、培训费等支出。</w:t>
      </w:r>
    </w:p>
    <w:p w14:paraId="38856D3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三十九、维修(护)费：反映单位日常开支的固定资产（不包括车船等交通工具）修理和维护费用，网络信息系统运行与维护费用，以及按规定提取的修购基金。</w:t>
      </w:r>
    </w:p>
    <w:p w14:paraId="1DFE970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四十、租赁费：反映租赁办公用房、宿舍、专用通讯网以及其他设备等方面的费用。</w:t>
      </w:r>
    </w:p>
    <w:p w14:paraId="19CA650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四十一、会议费：反映会议中按规定开支的住宿费、伙食费、会议室租金、交通费、文件印刷费、医药费等。</w:t>
      </w:r>
    </w:p>
    <w:p w14:paraId="1A1F93A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四十二、培训费：反映除因公出国（境）培训费以外的各类培训支出。</w:t>
      </w:r>
    </w:p>
    <w:p w14:paraId="59700F6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四十三、公务接待费：反映单位按规定开支的各类公务接待（含外宾接待）费用。</w:t>
      </w:r>
    </w:p>
    <w:p w14:paraId="4803ABD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2F33C3BF">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四十五、专用燃料费：反映用作业务工作设备的车、船设施等的油料支出。</w:t>
      </w:r>
    </w:p>
    <w:p w14:paraId="2601E260">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四十六、劳务费：反映支付给单位和个人的劳务费用，如临时聘用人员、钟点工工资，稿费、翻译费，评审费等。</w:t>
      </w:r>
    </w:p>
    <w:p w14:paraId="1B78FE8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四十七、委托业务费：反映因委托外单位办理业务而支付的委托业务费。</w:t>
      </w:r>
    </w:p>
    <w:p w14:paraId="4D39C86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四十八、工会经费：反映单位按规定提取的工会经费。</w:t>
      </w:r>
    </w:p>
    <w:p w14:paraId="2B4DED0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四十九、福利费：反映单位按规定提取的福利费。</w:t>
      </w:r>
    </w:p>
    <w:p w14:paraId="030D660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五十、公务用车运行维护费：反映单位按规定保留的公务用车燃料费、维修费、过桥过路费、保险费、安全奖励费用等支出。</w:t>
      </w:r>
    </w:p>
    <w:p w14:paraId="3CC8AB58">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五十一、其他交通费用：反映单位除公务用车运行维护费以外的其他交通费用。如公务交通补贴，租车费用、出租车费用，飞机、船舶等的燃料费、维修费、保险费等。</w:t>
      </w:r>
    </w:p>
    <w:p w14:paraId="657D6822">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五十二、税金及附加费用：反映单位提供劳务或销售产品应负担的税金及附加费用，包括营业税、消费税、城市维护建设税、资源税和教育附加等。</w:t>
      </w:r>
    </w:p>
    <w:p w14:paraId="352B870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五十三、其他商品和服务支出：反映上述科目未包括的日常公用支出。如行政赔偿费和诉讼费、国内组织的会员费、来访费、广告宣传、其他劳务费及离休人员特需费、公用经费等。</w:t>
      </w:r>
    </w:p>
    <w:p w14:paraId="2B1F6AF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五十四、对个人和家庭的补助：反映政府用于对个人和家庭的补助支出。</w:t>
      </w:r>
    </w:p>
    <w:p w14:paraId="6C214BB5">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五十五、离休费：反映行政事业单位和军队移交政府安置的离休人员的离休费、护理费和其他补贴。</w:t>
      </w:r>
    </w:p>
    <w:p w14:paraId="49EB08D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五十六、退休费：反映行政事业单位和军队移交政府安置的退休人员的退休费和其他补贴。</w:t>
      </w:r>
    </w:p>
    <w:p w14:paraId="713E2367">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五十七、抚恤金：反映按规定开支的烈士遗属、牺牲病故人员遗属的一次性和定期抚恤金，伤残人员的抚恤金，离退休人员等其他人员的各项抚恤金。</w:t>
      </w:r>
    </w:p>
    <w:p w14:paraId="1717BF7D">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w:t>
      </w:r>
      <w:r>
        <w:rPr>
          <w:rFonts w:hint="eastAsia" w:asciiTheme="minorEastAsia" w:hAnsiTheme="minorEastAsia" w:cstheme="minorEastAsia"/>
          <w:color w:val="000000"/>
          <w:kern w:val="0"/>
          <w:sz w:val="28"/>
          <w:szCs w:val="28"/>
          <w:lang w:eastAsia="zh-CN"/>
        </w:rPr>
        <w:t>。</w:t>
      </w:r>
    </w:p>
    <w:p w14:paraId="2CDED883">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49143E0">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6147301C">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六十一、奖励金：反映政府各部门的奖励支出，如对个体私营经济的奖励、计划生育目标责任奖励、独生子女父母奖励等。</w:t>
      </w:r>
    </w:p>
    <w:p w14:paraId="254B038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六十二、住房公积金：反映行政事业单位按人力资源和社会保障部、财政部规定的基本工资和津贴补贴以及规定比例为职工缴纳的住房公积金。</w:t>
      </w:r>
    </w:p>
    <w:p w14:paraId="171877D1">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六十三、提租补贴：反映按房改政策规定的标准，行政事业单位向职工（含离退休人员）发放的租金补贴。</w:t>
      </w:r>
    </w:p>
    <w:p w14:paraId="25854CA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六十四、购房补贴：反映按房改政策规定，行政事业单位向符合条件职工（含离退休人员）、军队(含武警)向转役复员离退休人员发放的用于购买住房的补贴。</w:t>
      </w:r>
    </w:p>
    <w:p w14:paraId="208C6305">
      <w:pPr>
        <w:ind w:firstLine="560" w:firstLineChars="200"/>
        <w:jc w:val="left"/>
        <w:rPr>
          <w:rFonts w:hint="eastAsia" w:asciiTheme="minorEastAsia" w:hAnsiTheme="minorEastAsia" w:eastAsiaTheme="minorEastAsia" w:cstheme="minorEastAsia"/>
          <w:color w:val="000000"/>
          <w:kern w:val="0"/>
          <w:sz w:val="28"/>
          <w:szCs w:val="28"/>
          <w:lang w:eastAsia="zh-CN"/>
        </w:rPr>
      </w:pPr>
      <w:r>
        <w:rPr>
          <w:rFonts w:hint="eastAsia" w:asciiTheme="minorEastAsia" w:hAnsiTheme="minorEastAsia" w:cstheme="minorEastAsia"/>
          <w:color w:val="000000"/>
          <w:kern w:val="0"/>
          <w:sz w:val="28"/>
          <w:szCs w:val="28"/>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Theme="minorEastAsia" w:hAnsiTheme="minorEastAsia" w:cstheme="minorEastAsia"/>
          <w:color w:val="000000"/>
          <w:kern w:val="0"/>
          <w:sz w:val="28"/>
          <w:szCs w:val="28"/>
          <w:lang w:eastAsia="zh-CN"/>
        </w:rPr>
        <w:t>。</w:t>
      </w:r>
    </w:p>
    <w:p w14:paraId="7E67E03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六十六、其他资本性支出：反映发展与改革部门以外的其他部门安排的用于购置固定资产、战略性和应急性储备、土地和无形资产，以及购建基础设施、大型修缮和财政支持企业更新改造所发生的支出。</w:t>
      </w:r>
    </w:p>
    <w:p w14:paraId="5C7398E4">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六十七、办公设备购置：反映用于购置并按财务会计制度规定纳入固定资产核算范围的办公家具和办公设备的支出，以及按规定提取的修购基金。</w:t>
      </w:r>
    </w:p>
    <w:p w14:paraId="70B7E886">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38F6E1B">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16DA3C8D">
      <w:pPr>
        <w:ind w:firstLine="560" w:firstLineChars="200"/>
        <w:jc w:val="left"/>
        <w:rPr>
          <w:rFonts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七十、其他资本性支出：反映著作权、商标权、专利权等无形资产购置支出，以及其他上述科目中未包括的资本性支出。如娱乐、文化和艺术原作的使用权、购买国内外影片播映权、购置图书等。</w:t>
      </w:r>
    </w:p>
    <w:p w14:paraId="5E78AE7B">
      <w:pPr>
        <w:ind w:firstLine="56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28"/>
          <w:szCs w:val="28"/>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A13BC80">
      <w:pPr>
        <w:pStyle w:val="13"/>
        <w:jc w:val="center"/>
        <w:rPr>
          <w:sz w:val="72"/>
          <w:szCs w:val="72"/>
        </w:rPr>
      </w:pPr>
    </w:p>
    <w:p w14:paraId="2F67626D">
      <w:pPr>
        <w:pStyle w:val="13"/>
        <w:jc w:val="center"/>
        <w:rPr>
          <w:sz w:val="72"/>
          <w:szCs w:val="72"/>
        </w:rPr>
      </w:pPr>
    </w:p>
    <w:p w14:paraId="6539F03C">
      <w:pPr>
        <w:pStyle w:val="13"/>
        <w:jc w:val="center"/>
        <w:rPr>
          <w:sz w:val="72"/>
          <w:szCs w:val="72"/>
        </w:rPr>
      </w:pPr>
    </w:p>
    <w:p w14:paraId="6EF8A681">
      <w:pPr>
        <w:pStyle w:val="13"/>
        <w:jc w:val="center"/>
        <w:rPr>
          <w:sz w:val="72"/>
          <w:szCs w:val="72"/>
        </w:rPr>
      </w:pPr>
    </w:p>
    <w:p w14:paraId="17EE3785">
      <w:pPr>
        <w:pStyle w:val="13"/>
        <w:jc w:val="center"/>
        <w:rPr>
          <w:sz w:val="72"/>
          <w:szCs w:val="72"/>
        </w:rPr>
      </w:pPr>
    </w:p>
    <w:p w14:paraId="26A68851">
      <w:pPr>
        <w:pStyle w:val="13"/>
        <w:jc w:val="center"/>
        <w:rPr>
          <w:sz w:val="72"/>
          <w:szCs w:val="72"/>
        </w:rPr>
      </w:pPr>
    </w:p>
    <w:p w14:paraId="6B0DD731">
      <w:pPr>
        <w:pStyle w:val="13"/>
        <w:jc w:val="center"/>
        <w:rPr>
          <w:sz w:val="72"/>
          <w:szCs w:val="72"/>
        </w:rPr>
      </w:pPr>
    </w:p>
    <w:p w14:paraId="691910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10E8C94"/>
    <w:multiLevelType w:val="singleLevel"/>
    <w:tmpl w:val="710E8C9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01A"/>
    <w:rsid w:val="006A351B"/>
    <w:rsid w:val="006B0422"/>
    <w:rsid w:val="006C1B53"/>
    <w:rsid w:val="006D7730"/>
    <w:rsid w:val="006E5284"/>
    <w:rsid w:val="006F3EB5"/>
    <w:rsid w:val="00702E34"/>
    <w:rsid w:val="00704395"/>
    <w:rsid w:val="00710FE7"/>
    <w:rsid w:val="00717621"/>
    <w:rsid w:val="00720FF1"/>
    <w:rsid w:val="00727A53"/>
    <w:rsid w:val="0076491C"/>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0E4074"/>
    <w:rsid w:val="059958AD"/>
    <w:rsid w:val="06C80616"/>
    <w:rsid w:val="06C857E7"/>
    <w:rsid w:val="070954E4"/>
    <w:rsid w:val="082F0F7A"/>
    <w:rsid w:val="08C24A73"/>
    <w:rsid w:val="0BFD42AD"/>
    <w:rsid w:val="0CC954FA"/>
    <w:rsid w:val="11944E2C"/>
    <w:rsid w:val="12583BA5"/>
    <w:rsid w:val="130179C0"/>
    <w:rsid w:val="13BA5B9C"/>
    <w:rsid w:val="13D053C0"/>
    <w:rsid w:val="14315DD3"/>
    <w:rsid w:val="169A3A63"/>
    <w:rsid w:val="1A604FC3"/>
    <w:rsid w:val="1D2642A2"/>
    <w:rsid w:val="1D97DEFF"/>
    <w:rsid w:val="1DFF72E5"/>
    <w:rsid w:val="1E28404A"/>
    <w:rsid w:val="1EFC6F07"/>
    <w:rsid w:val="1F0527A6"/>
    <w:rsid w:val="20AF45AF"/>
    <w:rsid w:val="22AC03C2"/>
    <w:rsid w:val="2573204F"/>
    <w:rsid w:val="283B15FE"/>
    <w:rsid w:val="2A8A5FF5"/>
    <w:rsid w:val="2FDF85B8"/>
    <w:rsid w:val="2FFFEE04"/>
    <w:rsid w:val="304E5B92"/>
    <w:rsid w:val="318D26EA"/>
    <w:rsid w:val="31AD68E8"/>
    <w:rsid w:val="31BF677A"/>
    <w:rsid w:val="31C95635"/>
    <w:rsid w:val="34DF85B0"/>
    <w:rsid w:val="36F566E5"/>
    <w:rsid w:val="38C96A47"/>
    <w:rsid w:val="3914724D"/>
    <w:rsid w:val="3B8F36BC"/>
    <w:rsid w:val="3D816FD3"/>
    <w:rsid w:val="3E4B3711"/>
    <w:rsid w:val="3F4940F4"/>
    <w:rsid w:val="412550F8"/>
    <w:rsid w:val="43EB5BA5"/>
    <w:rsid w:val="48FE4B50"/>
    <w:rsid w:val="491FF225"/>
    <w:rsid w:val="4EC310A1"/>
    <w:rsid w:val="4F5A1C8B"/>
    <w:rsid w:val="4FAB400F"/>
    <w:rsid w:val="4FFD214C"/>
    <w:rsid w:val="52D7511B"/>
    <w:rsid w:val="5352765A"/>
    <w:rsid w:val="53FB308C"/>
    <w:rsid w:val="55C670FA"/>
    <w:rsid w:val="55D55759"/>
    <w:rsid w:val="568A507A"/>
    <w:rsid w:val="5777D4F5"/>
    <w:rsid w:val="57F22B6F"/>
    <w:rsid w:val="59DD8326"/>
    <w:rsid w:val="5A584D94"/>
    <w:rsid w:val="5C3929A3"/>
    <w:rsid w:val="5DEF592A"/>
    <w:rsid w:val="5FC6BB1E"/>
    <w:rsid w:val="5FF720F1"/>
    <w:rsid w:val="61D76EE6"/>
    <w:rsid w:val="622964C1"/>
    <w:rsid w:val="65387C9C"/>
    <w:rsid w:val="655A40B6"/>
    <w:rsid w:val="671E1EBF"/>
    <w:rsid w:val="67FF5C0B"/>
    <w:rsid w:val="69C9180A"/>
    <w:rsid w:val="6B633598"/>
    <w:rsid w:val="6BAA4A2F"/>
    <w:rsid w:val="6DDEC5C0"/>
    <w:rsid w:val="6EFC0924"/>
    <w:rsid w:val="6FB74722"/>
    <w:rsid w:val="6FEF8B7E"/>
    <w:rsid w:val="70E92792"/>
    <w:rsid w:val="717FE77F"/>
    <w:rsid w:val="71A6591B"/>
    <w:rsid w:val="71AF12E6"/>
    <w:rsid w:val="737D59BA"/>
    <w:rsid w:val="737F32B1"/>
    <w:rsid w:val="73BD3FCA"/>
    <w:rsid w:val="74C90910"/>
    <w:rsid w:val="776BDA01"/>
    <w:rsid w:val="77C37683"/>
    <w:rsid w:val="79FF515B"/>
    <w:rsid w:val="7DFBFF20"/>
    <w:rsid w:val="7E9E1962"/>
    <w:rsid w:val="7E9F11B4"/>
    <w:rsid w:val="7F37EC1E"/>
    <w:rsid w:val="7F7C0DDA"/>
    <w:rsid w:val="7F7DCD9D"/>
    <w:rsid w:val="7F947D6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0"/>
    <w:pPr>
      <w:spacing w:after="120" w:afterLines="0" w:afterAutospacing="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25</Pages>
  <Words>4601</Words>
  <Characters>5023</Characters>
  <Lines>63</Lines>
  <Paragraphs>18</Paragraphs>
  <TotalTime>6</TotalTime>
  <ScaleCrop>false</ScaleCrop>
  <LinksUpToDate>false</LinksUpToDate>
  <CharactersWithSpaces>5091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2025-11-04T00:55:17Z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ABE530B8C99844B183CB48C2BCD369E8_13</vt:lpwstr>
  </property>
  <property fmtid="{D5CDD505-2E9C-101B-9397-08002B2CF9AE}" pid="4" name="KSOTemplateDocerSaveRecord">
    <vt:lpwstr>eyJoZGlkIjoiYjI4ZWM0OTk4MGNlNjZhNDY2ZmM5YWI0MmYyMTdhMTMiLCJ1c2VySWQiOiI2MTc1MTQwNzkifQ==</vt:lpwstr>
  </property>
</Properties>
</file>