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DCFF1">
      <w:pPr>
        <w:pStyle w:val="13"/>
        <w:jc w:val="center"/>
        <w:rPr>
          <w:sz w:val="56"/>
          <w:szCs w:val="56"/>
        </w:rPr>
      </w:pPr>
    </w:p>
    <w:p w14:paraId="3BDF5AB8">
      <w:pPr>
        <w:pStyle w:val="13"/>
        <w:jc w:val="center"/>
        <w:rPr>
          <w:sz w:val="56"/>
          <w:szCs w:val="56"/>
        </w:rPr>
      </w:pPr>
    </w:p>
    <w:p w14:paraId="60CA4575">
      <w:pPr>
        <w:pStyle w:val="13"/>
        <w:jc w:val="center"/>
        <w:rPr>
          <w:sz w:val="84"/>
          <w:szCs w:val="84"/>
        </w:rPr>
      </w:pPr>
    </w:p>
    <w:p w14:paraId="215EB31D">
      <w:pPr>
        <w:pStyle w:val="13"/>
        <w:jc w:val="center"/>
        <w:rPr>
          <w:sz w:val="84"/>
          <w:szCs w:val="84"/>
        </w:rPr>
      </w:pPr>
    </w:p>
    <w:p w14:paraId="376C8602">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0D5119FD">
      <w:pPr>
        <w:pStyle w:val="13"/>
        <w:jc w:val="center"/>
        <w:rPr>
          <w:rFonts w:hint="eastAsia" w:ascii="方正小标宋_GBK" w:hAnsi="方正小标宋_GBK" w:eastAsia="方正小标宋_GBK" w:cs="方正小标宋_GBK"/>
          <w:sz w:val="84"/>
          <w:szCs w:val="84"/>
          <w:lang w:val="en-US" w:eastAsia="zh-CN"/>
        </w:rPr>
      </w:pPr>
      <w:r>
        <w:rPr>
          <w:rFonts w:hint="eastAsia" w:ascii="方正小标宋_GBK" w:hAnsi="方正小标宋_GBK" w:eastAsia="方正小标宋_GBK" w:cs="方正小标宋_GBK"/>
          <w:sz w:val="84"/>
          <w:szCs w:val="84"/>
          <w:lang w:val="en-US" w:eastAsia="zh-CN"/>
        </w:rPr>
        <w:t>屈原管理区营田镇学校</w:t>
      </w:r>
    </w:p>
    <w:p w14:paraId="6934EBE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部门</w:t>
      </w:r>
      <w:r>
        <w:rPr>
          <w:rFonts w:hint="eastAsia" w:ascii="方正小标宋_GBK" w:hAnsi="方正小标宋_GBK" w:eastAsia="方正小标宋_GBK" w:cs="方正小标宋_GBK"/>
          <w:sz w:val="84"/>
          <w:szCs w:val="84"/>
        </w:rPr>
        <w:t>决算</w:t>
      </w:r>
    </w:p>
    <w:p w14:paraId="3A699C16">
      <w:pPr>
        <w:pStyle w:val="13"/>
        <w:jc w:val="center"/>
        <w:rPr>
          <w:rFonts w:hint="eastAsia" w:ascii="方正小标宋_GBK" w:hAnsi="方正小标宋_GBK" w:eastAsia="方正小标宋_GBK" w:cs="方正小标宋_GBK"/>
          <w:sz w:val="56"/>
          <w:szCs w:val="56"/>
        </w:rPr>
      </w:pPr>
    </w:p>
    <w:p w14:paraId="72C8FB58">
      <w:pPr>
        <w:pStyle w:val="13"/>
        <w:jc w:val="center"/>
        <w:rPr>
          <w:sz w:val="56"/>
          <w:szCs w:val="56"/>
        </w:rPr>
      </w:pPr>
    </w:p>
    <w:p w14:paraId="25018D25">
      <w:pPr>
        <w:pStyle w:val="13"/>
        <w:jc w:val="center"/>
        <w:rPr>
          <w:sz w:val="56"/>
          <w:szCs w:val="56"/>
        </w:rPr>
      </w:pPr>
    </w:p>
    <w:p w14:paraId="5EE73A38">
      <w:pPr>
        <w:pStyle w:val="13"/>
        <w:jc w:val="center"/>
        <w:rPr>
          <w:sz w:val="56"/>
          <w:szCs w:val="56"/>
        </w:rPr>
      </w:pPr>
    </w:p>
    <w:p w14:paraId="297571C5">
      <w:pPr>
        <w:pStyle w:val="13"/>
        <w:jc w:val="center"/>
        <w:rPr>
          <w:sz w:val="32"/>
          <w:szCs w:val="32"/>
        </w:rPr>
      </w:pPr>
    </w:p>
    <w:p w14:paraId="08493D1E">
      <w:pPr>
        <w:pStyle w:val="13"/>
        <w:jc w:val="center"/>
        <w:rPr>
          <w:sz w:val="32"/>
          <w:szCs w:val="32"/>
        </w:rPr>
      </w:pPr>
    </w:p>
    <w:p w14:paraId="5BD6E8BD">
      <w:pPr>
        <w:pStyle w:val="13"/>
        <w:jc w:val="center"/>
        <w:rPr>
          <w:sz w:val="32"/>
          <w:szCs w:val="32"/>
        </w:rPr>
      </w:pPr>
    </w:p>
    <w:p w14:paraId="44EEACE3">
      <w:pPr>
        <w:pStyle w:val="13"/>
        <w:spacing w:line="500" w:lineRule="exact"/>
        <w:jc w:val="both"/>
        <w:rPr>
          <w:rFonts w:hint="eastAsia"/>
          <w:b/>
          <w:sz w:val="36"/>
          <w:szCs w:val="28"/>
        </w:rPr>
      </w:pPr>
    </w:p>
    <w:p w14:paraId="24F3309B">
      <w:pPr>
        <w:pStyle w:val="13"/>
        <w:spacing w:line="500" w:lineRule="exact"/>
        <w:jc w:val="center"/>
        <w:rPr>
          <w:b/>
          <w:sz w:val="36"/>
          <w:szCs w:val="28"/>
        </w:rPr>
      </w:pPr>
      <w:r>
        <w:rPr>
          <w:rFonts w:hint="eastAsia"/>
          <w:b/>
          <w:sz w:val="36"/>
          <w:szCs w:val="28"/>
        </w:rPr>
        <w:t>目录</w:t>
      </w:r>
    </w:p>
    <w:p w14:paraId="6CBD0C22">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营田镇学校</w:t>
      </w:r>
      <w:r>
        <w:rPr>
          <w:rFonts w:hint="eastAsia" w:ascii="黑体" w:hAnsi="黑体" w:eastAsia="黑体" w:cs="黑体"/>
          <w:b w:val="0"/>
          <w:bCs/>
          <w:sz w:val="28"/>
          <w:szCs w:val="28"/>
        </w:rPr>
        <w:t>概况</w:t>
      </w:r>
    </w:p>
    <w:p w14:paraId="060CB1D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315E49DA">
      <w:pPr>
        <w:pStyle w:val="13"/>
        <w:spacing w:line="500" w:lineRule="exact"/>
        <w:ind w:firstLine="700" w:firstLineChars="25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二、机构设置</w:t>
      </w:r>
      <w:r>
        <w:rPr>
          <w:rFonts w:hint="eastAsia" w:ascii="仿宋_GB2312" w:hAnsi="仿宋_GB2312" w:eastAsia="仿宋_GB2312" w:cs="仿宋_GB2312"/>
          <w:sz w:val="28"/>
          <w:szCs w:val="28"/>
          <w:lang w:eastAsia="zh-CN"/>
        </w:rPr>
        <w:t>及决算单位构成</w:t>
      </w:r>
    </w:p>
    <w:p w14:paraId="3CE431DD">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4B1DE222">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28DAEA9B">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189E14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0621647E">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28E0B171">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0A1DA969">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2E9A333">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16661B6">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3827588">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69B4707F">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30D2819C">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2F99AFEC">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9796A8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42F5763D">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4551B6B2">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BC2CE3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11D8554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14:paraId="5F6B554B">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highlight w:val="yellow"/>
        </w:rPr>
      </w:pPr>
      <w:r>
        <w:rPr>
          <w:rFonts w:hint="eastAsia" w:ascii="仿宋_GB2312" w:hAnsi="仿宋_GB2312" w:eastAsia="仿宋_GB2312" w:cs="仿宋_GB2312"/>
          <w:color w:val="000000"/>
          <w:kern w:val="0"/>
          <w:sz w:val="28"/>
          <w:szCs w:val="28"/>
          <w:highlight w:val="none"/>
        </w:rPr>
        <w:t>八、</w:t>
      </w:r>
      <w:r>
        <w:rPr>
          <w:rFonts w:hint="eastAsia" w:ascii="仿宋_GB2312" w:hAnsi="仿宋_GB2312" w:eastAsia="仿宋_GB2312" w:cs="仿宋_GB2312"/>
          <w:sz w:val="28"/>
          <w:szCs w:val="28"/>
          <w:highlight w:val="none"/>
        </w:rPr>
        <w:t>国有资本经营预算财政拨款支出决算</w:t>
      </w:r>
      <w:r>
        <w:rPr>
          <w:rFonts w:hint="eastAsia" w:ascii="仿宋_GB2312" w:hAnsi="仿宋_GB2312" w:eastAsia="仿宋_GB2312" w:cs="仿宋_GB2312"/>
          <w:sz w:val="28"/>
          <w:szCs w:val="28"/>
          <w:highlight w:val="none"/>
          <w:lang w:eastAsia="zh-CN"/>
        </w:rPr>
        <w:t>情况</w:t>
      </w:r>
    </w:p>
    <w:p w14:paraId="71D9102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14:paraId="371B64F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1624E73C">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14:paraId="6C86A3EF">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14:paraId="5E15A642">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14:paraId="5BD7D26C">
      <w:pPr>
        <w:pStyle w:val="13"/>
        <w:spacing w:line="500" w:lineRule="exact"/>
        <w:ind w:firstLine="700" w:firstLineChars="250"/>
        <w:rPr>
          <w:rFonts w:hint="eastAsia" w:ascii="仿宋_GB2312" w:hAnsi="仿宋_GB2312" w:eastAsia="仿宋_GB2312" w:cs="仿宋_GB2312"/>
          <w:sz w:val="28"/>
          <w:szCs w:val="28"/>
          <w:highlight w:val="none"/>
        </w:rPr>
      </w:pPr>
      <w:r>
        <w:rPr>
          <w:rFonts w:hint="eastAsia" w:ascii="仿宋_GB2312" w:hAnsi="仿宋_GB2312" w:eastAsia="仿宋_GB2312" w:cs="仿宋_GB2312"/>
          <w:color w:val="000000"/>
          <w:kern w:val="0"/>
          <w:sz w:val="28"/>
          <w:szCs w:val="28"/>
          <w:highlight w:val="none"/>
          <w:lang w:val="en-US" w:eastAsia="zh-CN" w:bidi="ar-SA"/>
        </w:rPr>
        <w:t>十四、</w:t>
      </w:r>
      <w:r>
        <w:rPr>
          <w:rFonts w:hint="eastAsia" w:ascii="仿宋_GB2312" w:hAnsi="仿宋_GB2312" w:eastAsia="仿宋_GB2312" w:cs="仿宋_GB2312"/>
          <w:sz w:val="28"/>
          <w:szCs w:val="28"/>
          <w:highlight w:val="none"/>
        </w:rPr>
        <w:t>关于</w:t>
      </w:r>
      <w:r>
        <w:rPr>
          <w:rFonts w:hint="default" w:ascii="Times New Roman" w:hAnsi="Times New Roman" w:eastAsia="仿宋_GB2312" w:cs="Times New Roman"/>
          <w:sz w:val="28"/>
          <w:szCs w:val="28"/>
          <w:highlight w:val="none"/>
        </w:rPr>
        <w:t>202</w:t>
      </w:r>
      <w:r>
        <w:rPr>
          <w:rFonts w:hint="eastAsia" w:ascii="Times New Roman" w:hAnsi="Times New Roman" w:eastAsia="仿宋_GB2312" w:cs="Times New Roman"/>
          <w:sz w:val="28"/>
          <w:szCs w:val="28"/>
          <w:highlight w:val="none"/>
          <w:lang w:val="en-US" w:eastAsia="zh-CN"/>
        </w:rPr>
        <w:t>4</w:t>
      </w:r>
      <w:r>
        <w:rPr>
          <w:rFonts w:hint="eastAsia" w:ascii="仿宋_GB2312" w:hAnsi="仿宋_GB2312" w:eastAsia="仿宋_GB2312" w:cs="仿宋_GB2312"/>
          <w:sz w:val="28"/>
          <w:szCs w:val="28"/>
          <w:highlight w:val="none"/>
        </w:rPr>
        <w:t>年度</w:t>
      </w:r>
      <w:r>
        <w:rPr>
          <w:rFonts w:hint="eastAsia" w:ascii="仿宋_GB2312" w:hAnsi="仿宋_GB2312" w:eastAsia="仿宋_GB2312" w:cs="仿宋_GB2312"/>
          <w:sz w:val="28"/>
          <w:szCs w:val="28"/>
          <w:highlight w:val="none"/>
          <w:lang w:eastAsia="zh-CN"/>
        </w:rPr>
        <w:t>预算</w:t>
      </w:r>
      <w:r>
        <w:rPr>
          <w:rFonts w:hint="eastAsia" w:ascii="仿宋_GB2312" w:hAnsi="仿宋_GB2312" w:eastAsia="仿宋_GB2312" w:cs="仿宋_GB2312"/>
          <w:sz w:val="28"/>
          <w:szCs w:val="28"/>
          <w:highlight w:val="none"/>
        </w:rPr>
        <w:t>绩效</w:t>
      </w:r>
      <w:r>
        <w:rPr>
          <w:rFonts w:hint="eastAsia" w:ascii="仿宋_GB2312" w:hAnsi="仿宋_GB2312" w:eastAsia="仿宋_GB2312" w:cs="仿宋_GB2312"/>
          <w:sz w:val="28"/>
          <w:szCs w:val="28"/>
          <w:highlight w:val="none"/>
          <w:lang w:eastAsia="zh-CN"/>
        </w:rPr>
        <w:t>管理</w:t>
      </w:r>
      <w:r>
        <w:rPr>
          <w:rFonts w:hint="eastAsia" w:ascii="仿宋_GB2312" w:hAnsi="仿宋_GB2312" w:eastAsia="仿宋_GB2312" w:cs="仿宋_GB2312"/>
          <w:sz w:val="28"/>
          <w:szCs w:val="28"/>
          <w:highlight w:val="none"/>
        </w:rPr>
        <w:t>情况的说明</w:t>
      </w:r>
    </w:p>
    <w:p w14:paraId="51852483">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7D866A9C">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E7F14A9">
      <w:pPr>
        <w:pStyle w:val="13"/>
        <w:jc w:val="center"/>
        <w:rPr>
          <w:rFonts w:hint="eastAsia" w:ascii="方正小标宋_GBK" w:hAnsi="方正小标宋_GBK" w:eastAsia="方正小标宋_GBK" w:cs="方正小标宋_GBK"/>
          <w:sz w:val="84"/>
          <w:szCs w:val="84"/>
        </w:rPr>
      </w:pPr>
    </w:p>
    <w:p w14:paraId="1095DEAB">
      <w:pPr>
        <w:pStyle w:val="13"/>
        <w:jc w:val="center"/>
        <w:rPr>
          <w:rFonts w:hint="eastAsia" w:ascii="方正小标宋_GBK" w:hAnsi="方正小标宋_GBK" w:eastAsia="方正小标宋_GBK" w:cs="方正小标宋_GBK"/>
          <w:sz w:val="84"/>
          <w:szCs w:val="84"/>
        </w:rPr>
      </w:pPr>
    </w:p>
    <w:p w14:paraId="0DEEC249">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5C6A94F8">
      <w:pPr>
        <w:pStyle w:val="13"/>
        <w:jc w:val="center"/>
        <w:rPr>
          <w:rFonts w:hint="eastAsia" w:ascii="方正小标宋_GBK" w:hAnsi="方正小标宋_GBK" w:eastAsia="方正小标宋_GBK" w:cs="方正小标宋_GBK"/>
          <w:sz w:val="84"/>
          <w:szCs w:val="84"/>
        </w:rPr>
      </w:pPr>
    </w:p>
    <w:p w14:paraId="5EF69A9D">
      <w:pPr>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营田镇学校</w:t>
      </w:r>
      <w:r>
        <w:rPr>
          <w:rFonts w:hint="eastAsia" w:ascii="方正小标宋_GBK" w:hAnsi="方正小标宋_GBK" w:eastAsia="方正小标宋_GBK" w:cs="方正小标宋_GBK"/>
          <w:sz w:val="84"/>
          <w:szCs w:val="84"/>
        </w:rPr>
        <w:t>概况</w:t>
      </w:r>
    </w:p>
    <w:p w14:paraId="77A0C778">
      <w:pPr>
        <w:pStyle w:val="2"/>
        <w:rPr>
          <w:rFonts w:hint="eastAsia" w:ascii="方正小标宋_GBK" w:hAnsi="方正小标宋_GBK" w:eastAsia="方正小标宋_GBK" w:cs="方正小标宋_GBK"/>
          <w:sz w:val="84"/>
          <w:szCs w:val="84"/>
        </w:rPr>
      </w:pPr>
    </w:p>
    <w:p w14:paraId="397AC3FB">
      <w:pPr>
        <w:pStyle w:val="3"/>
        <w:rPr>
          <w:rFonts w:hint="eastAsia" w:ascii="方正小标宋_GBK" w:hAnsi="方正小标宋_GBK" w:eastAsia="方正小标宋_GBK" w:cs="方正小标宋_GBK"/>
          <w:sz w:val="84"/>
          <w:szCs w:val="84"/>
        </w:rPr>
      </w:pPr>
    </w:p>
    <w:p w14:paraId="13F2C40A">
      <w:pPr>
        <w:rPr>
          <w:rFonts w:hint="eastAsia" w:ascii="方正小标宋_GBK" w:hAnsi="方正小标宋_GBK" w:eastAsia="方正小标宋_GBK" w:cs="方正小标宋_GBK"/>
          <w:sz w:val="84"/>
          <w:szCs w:val="84"/>
        </w:rPr>
      </w:pPr>
    </w:p>
    <w:p w14:paraId="128B0AE2">
      <w:pPr>
        <w:pStyle w:val="2"/>
        <w:rPr>
          <w:rFonts w:hint="eastAsia" w:ascii="方正小标宋_GBK" w:hAnsi="方正小标宋_GBK" w:eastAsia="方正小标宋_GBK" w:cs="方正小标宋_GBK"/>
          <w:sz w:val="84"/>
          <w:szCs w:val="84"/>
        </w:rPr>
      </w:pPr>
    </w:p>
    <w:p w14:paraId="1469560B">
      <w:pPr>
        <w:pStyle w:val="3"/>
        <w:rPr>
          <w:rFonts w:hint="eastAsia" w:ascii="方正小标宋_GBK" w:hAnsi="方正小标宋_GBK" w:eastAsia="方正小标宋_GBK" w:cs="方正小标宋_GBK"/>
          <w:sz w:val="84"/>
          <w:szCs w:val="84"/>
        </w:rPr>
      </w:pPr>
    </w:p>
    <w:p w14:paraId="55E857AF">
      <w:pPr>
        <w:pStyle w:val="14"/>
        <w:numPr>
          <w:ilvl w:val="0"/>
          <w:numId w:val="1"/>
        </w:numPr>
        <w:ind w:firstLineChars="0"/>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部门职责</w:t>
      </w:r>
    </w:p>
    <w:p w14:paraId="2A397FDF">
      <w:pPr>
        <w:ind w:firstLine="800" w:firstLineChars="250"/>
        <w:jc w:val="left"/>
        <w:rPr>
          <w:rFonts w:hint="eastAsia" w:ascii="黑体" w:hAnsi="黑体" w:eastAsia="黑体" w:cs="黑体"/>
          <w:b w:val="0"/>
          <w:bCs/>
          <w:kern w:val="0"/>
          <w:sz w:val="32"/>
          <w:szCs w:val="32"/>
          <w:highlight w:val="none"/>
        </w:rPr>
      </w:pPr>
      <w:r>
        <w:rPr>
          <w:rFonts w:hint="eastAsia" w:ascii="Times New Roman" w:hAnsi="Times New Roman" w:eastAsia="仿宋_GB2312" w:cs="仿宋_GB2312"/>
          <w:sz w:val="32"/>
          <w:szCs w:val="32"/>
          <w:highlight w:val="none"/>
        </w:rPr>
        <w:t>（一）</w:t>
      </w:r>
      <w:r>
        <w:rPr>
          <w:rFonts w:hint="eastAsia" w:ascii="宋体" w:hAnsi="宋体" w:cs="Arial"/>
          <w:color w:val="000000"/>
          <w:kern w:val="0"/>
          <w:sz w:val="32"/>
          <w:szCs w:val="32"/>
          <w:highlight w:val="none"/>
          <w:lang w:eastAsia="zh-CN"/>
        </w:rPr>
        <w:t>营田</w:t>
      </w:r>
      <w:r>
        <w:rPr>
          <w:rFonts w:hint="eastAsia" w:ascii="宋体" w:hAnsi="宋体" w:cs="Arial"/>
          <w:color w:val="000000"/>
          <w:kern w:val="0"/>
          <w:sz w:val="32"/>
          <w:szCs w:val="32"/>
          <w:highlight w:val="none"/>
          <w:lang w:val="en-US" w:eastAsia="zh-CN"/>
        </w:rPr>
        <w:t>镇学校</w:t>
      </w:r>
      <w:r>
        <w:rPr>
          <w:rFonts w:hint="eastAsia" w:ascii="宋体" w:hAnsi="宋体" w:cs="Arial"/>
          <w:color w:val="000000"/>
          <w:kern w:val="0"/>
          <w:sz w:val="32"/>
          <w:szCs w:val="32"/>
          <w:highlight w:val="none"/>
        </w:rPr>
        <w:t>以实施小学教育为主要职能，隶属于岳阳市屈原管理区教育</w:t>
      </w:r>
      <w:r>
        <w:rPr>
          <w:rFonts w:hint="eastAsia" w:ascii="宋体" w:hAnsi="宋体" w:cs="Arial"/>
          <w:color w:val="000000"/>
          <w:kern w:val="0"/>
          <w:sz w:val="32"/>
          <w:szCs w:val="32"/>
          <w:highlight w:val="none"/>
          <w:lang w:val="en-US" w:eastAsia="zh-CN"/>
        </w:rPr>
        <w:t>体育</w:t>
      </w:r>
      <w:r>
        <w:rPr>
          <w:rFonts w:hint="eastAsia" w:ascii="宋体" w:hAnsi="宋体" w:cs="Arial"/>
          <w:color w:val="000000"/>
          <w:kern w:val="0"/>
          <w:sz w:val="32"/>
          <w:szCs w:val="32"/>
          <w:highlight w:val="none"/>
        </w:rPr>
        <w:t>局管理的全额拨款事业单位。</w:t>
      </w:r>
    </w:p>
    <w:p w14:paraId="2DC82B10">
      <w:pPr>
        <w:widowControl/>
        <w:spacing w:line="600" w:lineRule="exact"/>
        <w:rPr>
          <w:rFonts w:hint="eastAsia" w:ascii="黑体" w:hAnsi="黑体" w:eastAsia="黑体" w:cs="黑体"/>
          <w:b w:val="0"/>
          <w:bCs/>
          <w:kern w:val="0"/>
          <w:sz w:val="32"/>
          <w:szCs w:val="32"/>
          <w:highlight w:val="none"/>
        </w:rPr>
      </w:pPr>
      <w:r>
        <w:rPr>
          <w:rFonts w:hint="eastAsia" w:ascii="黑体" w:hAnsi="黑体" w:eastAsia="黑体" w:cs="黑体"/>
          <w:b w:val="0"/>
          <w:bCs/>
          <w:kern w:val="0"/>
          <w:sz w:val="32"/>
          <w:szCs w:val="32"/>
          <w:highlight w:val="none"/>
        </w:rPr>
        <w:t>二、机构设置及决算单位构成</w:t>
      </w:r>
    </w:p>
    <w:p w14:paraId="5F525570">
      <w:pPr>
        <w:widowControl/>
        <w:spacing w:line="600" w:lineRule="exact"/>
        <w:rPr>
          <w:rFonts w:hint="eastAsia" w:ascii="Times New Roman" w:hAnsi="Times New Roman" w:eastAsia="仿宋_GB2312" w:cs="仿宋_GB2312"/>
          <w:bCs/>
          <w:kern w:val="0"/>
          <w:sz w:val="32"/>
          <w:szCs w:val="32"/>
          <w:highlight w:val="none"/>
        </w:rPr>
      </w:pPr>
      <w:r>
        <w:rPr>
          <w:rFonts w:hint="eastAsia" w:ascii="Times New Roman" w:hAnsi="Times New Roman" w:eastAsia="仿宋_GB2312" w:cs="仿宋_GB2312"/>
          <w:bCs/>
          <w:kern w:val="0"/>
          <w:sz w:val="32"/>
          <w:szCs w:val="32"/>
          <w:highlight w:val="none"/>
        </w:rPr>
        <w:t>（一）内设机构设置。</w:t>
      </w:r>
    </w:p>
    <w:p w14:paraId="38AE043A">
      <w:pPr>
        <w:widowControl/>
        <w:spacing w:line="600" w:lineRule="exact"/>
        <w:ind w:firstLine="640" w:firstLineChars="200"/>
        <w:rPr>
          <w:rFonts w:hint="eastAsia"/>
          <w:highlight w:val="none"/>
        </w:rPr>
      </w:pPr>
      <w:r>
        <w:rPr>
          <w:rFonts w:hint="eastAsia" w:ascii="宋体" w:hAnsi="宋体" w:cs="Arial"/>
          <w:color w:val="000000"/>
          <w:kern w:val="0"/>
          <w:sz w:val="32"/>
          <w:szCs w:val="32"/>
          <w:highlight w:val="none"/>
          <w:lang w:eastAsia="zh-CN"/>
        </w:rPr>
        <w:t>营田</w:t>
      </w:r>
      <w:r>
        <w:rPr>
          <w:rFonts w:hint="eastAsia" w:ascii="宋体" w:hAnsi="宋体" w:cs="Arial"/>
          <w:color w:val="000000"/>
          <w:kern w:val="0"/>
          <w:sz w:val="32"/>
          <w:szCs w:val="32"/>
          <w:highlight w:val="none"/>
          <w:lang w:val="en-US" w:eastAsia="zh-CN"/>
        </w:rPr>
        <w:t>中学</w:t>
      </w:r>
      <w:r>
        <w:rPr>
          <w:rFonts w:hint="eastAsia" w:ascii="宋体" w:hAnsi="宋体" w:cs="Arial"/>
          <w:color w:val="000000"/>
          <w:kern w:val="0"/>
          <w:sz w:val="32"/>
          <w:szCs w:val="32"/>
          <w:highlight w:val="none"/>
        </w:rPr>
        <w:t>内设机构</w:t>
      </w:r>
      <w:r>
        <w:rPr>
          <w:rFonts w:ascii="宋体" w:hAnsi="宋体" w:cs="Arial"/>
          <w:color w:val="000000"/>
          <w:kern w:val="0"/>
          <w:sz w:val="32"/>
          <w:szCs w:val="32"/>
          <w:highlight w:val="none"/>
        </w:rPr>
        <w:t>7</w:t>
      </w:r>
      <w:r>
        <w:rPr>
          <w:rFonts w:hint="eastAsia" w:ascii="宋体" w:hAnsi="宋体" w:cs="Arial"/>
          <w:color w:val="000000"/>
          <w:kern w:val="0"/>
          <w:sz w:val="32"/>
          <w:szCs w:val="32"/>
          <w:highlight w:val="none"/>
        </w:rPr>
        <w:t>个，分别是校长室，党支部、办公室、教导处、德育处、后勤处、工会。在编在岗实有人数为</w:t>
      </w:r>
      <w:r>
        <w:rPr>
          <w:rFonts w:hint="eastAsia" w:ascii="宋体" w:hAnsi="宋体" w:cs="Arial"/>
          <w:color w:val="000000"/>
          <w:kern w:val="0"/>
          <w:sz w:val="32"/>
          <w:szCs w:val="32"/>
          <w:highlight w:val="none"/>
          <w:lang w:val="en-US" w:eastAsia="zh-CN"/>
        </w:rPr>
        <w:t>22</w:t>
      </w:r>
      <w:r>
        <w:rPr>
          <w:rFonts w:hint="eastAsia" w:ascii="宋体" w:hAnsi="宋体" w:cs="Arial"/>
          <w:color w:val="000000"/>
          <w:kern w:val="0"/>
          <w:sz w:val="32"/>
          <w:szCs w:val="32"/>
          <w:highlight w:val="none"/>
        </w:rPr>
        <w:t>人，退休人员为</w:t>
      </w:r>
      <w:r>
        <w:rPr>
          <w:rFonts w:hint="eastAsia" w:ascii="宋体" w:hAnsi="宋体" w:cs="Arial"/>
          <w:color w:val="000000"/>
          <w:kern w:val="0"/>
          <w:sz w:val="32"/>
          <w:szCs w:val="32"/>
          <w:highlight w:val="none"/>
          <w:lang w:val="en-US" w:eastAsia="zh-CN"/>
        </w:rPr>
        <w:t>90</w:t>
      </w:r>
      <w:r>
        <w:rPr>
          <w:rFonts w:hint="eastAsia" w:ascii="宋体" w:hAnsi="宋体" w:cs="Arial"/>
          <w:color w:val="000000"/>
          <w:kern w:val="0"/>
          <w:sz w:val="32"/>
          <w:szCs w:val="32"/>
          <w:highlight w:val="none"/>
        </w:rPr>
        <w:t>人</w:t>
      </w:r>
      <w:r>
        <w:rPr>
          <w:rFonts w:hint="eastAsia" w:ascii="宋体" w:hAnsi="宋体" w:cs="Arial"/>
          <w:color w:val="000000"/>
          <w:kern w:val="0"/>
          <w:sz w:val="32"/>
          <w:szCs w:val="32"/>
          <w:highlight w:val="none"/>
          <w:lang w:eastAsia="zh-CN"/>
        </w:rPr>
        <w:t>。</w:t>
      </w:r>
    </w:p>
    <w:p w14:paraId="38F8B787">
      <w:pPr>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highlight w:val="none"/>
        </w:rPr>
        <w:t>（二）</w:t>
      </w:r>
      <w:r>
        <w:rPr>
          <w:rFonts w:hint="eastAsia" w:ascii="宋体" w:hAnsi="宋体" w:cs="Arial"/>
          <w:color w:val="000000"/>
          <w:kern w:val="0"/>
          <w:sz w:val="32"/>
          <w:szCs w:val="32"/>
          <w:highlight w:val="none"/>
          <w:lang w:eastAsia="zh-CN"/>
        </w:rPr>
        <w:t>本单位无独立核算的下属单位，</w:t>
      </w:r>
      <w:r>
        <w:rPr>
          <w:rFonts w:hint="eastAsia" w:ascii="宋体" w:hAnsi="宋体" w:cs="Arial"/>
          <w:color w:val="000000"/>
          <w:kern w:val="0"/>
          <w:sz w:val="32"/>
          <w:szCs w:val="32"/>
          <w:highlight w:val="none"/>
          <w:lang w:val="en-US" w:eastAsia="zh-CN"/>
        </w:rPr>
        <w:t>2024年度部门决算汇总公开单位仅包括</w:t>
      </w:r>
      <w:r>
        <w:rPr>
          <w:rFonts w:hint="eastAsia" w:ascii="宋体" w:hAnsi="宋体" w:cs="Arial"/>
          <w:color w:val="000000"/>
          <w:kern w:val="0"/>
          <w:sz w:val="32"/>
          <w:szCs w:val="32"/>
          <w:highlight w:val="none"/>
          <w:lang w:eastAsia="zh-CN"/>
        </w:rPr>
        <w:t>营田</w:t>
      </w:r>
      <w:r>
        <w:rPr>
          <w:rFonts w:hint="eastAsia" w:ascii="宋体" w:hAnsi="宋体" w:cs="Arial"/>
          <w:color w:val="000000"/>
          <w:kern w:val="0"/>
          <w:sz w:val="32"/>
          <w:szCs w:val="32"/>
          <w:highlight w:val="none"/>
          <w:lang w:val="en-US" w:eastAsia="zh-CN"/>
        </w:rPr>
        <w:t>镇学校单位本级</w:t>
      </w:r>
      <w:r>
        <w:rPr>
          <w:rFonts w:hint="eastAsia" w:ascii="宋体" w:hAnsi="宋体" w:cs="Arial"/>
          <w:color w:val="000000"/>
          <w:kern w:val="0"/>
          <w:sz w:val="32"/>
          <w:szCs w:val="32"/>
          <w:highlight w:val="none"/>
        </w:rPr>
        <w:t>）。</w:t>
      </w:r>
    </w:p>
    <w:p w14:paraId="1E950B16">
      <w:pPr>
        <w:widowControl/>
        <w:spacing w:line="600" w:lineRule="exact"/>
        <w:rPr>
          <w:rFonts w:hint="eastAsia" w:ascii="Times New Roman" w:hAnsi="Times New Roman" w:eastAsia="仿宋_GB2312" w:cs="仿宋_GB2312"/>
          <w:bCs/>
          <w:kern w:val="0"/>
          <w:sz w:val="32"/>
          <w:szCs w:val="32"/>
          <w:highlight w:val="none"/>
        </w:rPr>
      </w:pPr>
    </w:p>
    <w:p w14:paraId="38152785"/>
    <w:p w14:paraId="3CE56614">
      <w:pPr>
        <w:pStyle w:val="2"/>
      </w:pPr>
    </w:p>
    <w:p w14:paraId="70B4D569">
      <w:pPr>
        <w:pStyle w:val="3"/>
      </w:pPr>
    </w:p>
    <w:p w14:paraId="5B1D6CBC"/>
    <w:p w14:paraId="7D6C31E4">
      <w:pPr>
        <w:pStyle w:val="2"/>
      </w:pPr>
    </w:p>
    <w:p w14:paraId="056E4ECA">
      <w:pPr>
        <w:pStyle w:val="3"/>
      </w:pPr>
    </w:p>
    <w:p w14:paraId="3288C9C5"/>
    <w:p w14:paraId="14507043">
      <w:pPr>
        <w:pStyle w:val="2"/>
      </w:pPr>
    </w:p>
    <w:p w14:paraId="465EA8BD">
      <w:pPr>
        <w:pStyle w:val="3"/>
      </w:pPr>
    </w:p>
    <w:p w14:paraId="49E51758"/>
    <w:p w14:paraId="3DC8C6CD">
      <w:pPr>
        <w:pStyle w:val="2"/>
      </w:pPr>
    </w:p>
    <w:p w14:paraId="36E702E5">
      <w:pPr>
        <w:pStyle w:val="3"/>
      </w:pPr>
    </w:p>
    <w:p w14:paraId="0416550A"/>
    <w:p w14:paraId="28B49BCE">
      <w:pPr>
        <w:pStyle w:val="2"/>
      </w:pPr>
    </w:p>
    <w:p w14:paraId="43291855">
      <w:pPr>
        <w:pStyle w:val="3"/>
      </w:pPr>
    </w:p>
    <w:p w14:paraId="7CD92489"/>
    <w:p w14:paraId="5267F12B">
      <w:pPr>
        <w:pStyle w:val="2"/>
      </w:pPr>
    </w:p>
    <w:p w14:paraId="28828498">
      <w:pPr>
        <w:pStyle w:val="3"/>
      </w:pPr>
    </w:p>
    <w:p w14:paraId="04E62672"/>
    <w:p w14:paraId="1D6D7A8B">
      <w:pPr>
        <w:pStyle w:val="2"/>
      </w:pPr>
    </w:p>
    <w:p w14:paraId="2E47952B">
      <w:pPr>
        <w:pStyle w:val="3"/>
      </w:pPr>
    </w:p>
    <w:p w14:paraId="18A19BE5"/>
    <w:p w14:paraId="7CCBF86D">
      <w:pPr>
        <w:pStyle w:val="2"/>
      </w:pPr>
    </w:p>
    <w:p w14:paraId="0017F5EC">
      <w:pPr>
        <w:pStyle w:val="3"/>
      </w:pPr>
    </w:p>
    <w:p w14:paraId="76181D4E"/>
    <w:p w14:paraId="1A174866">
      <w:pPr>
        <w:pStyle w:val="13"/>
        <w:jc w:val="center"/>
        <w:rPr>
          <w:rFonts w:hint="eastAsia" w:ascii="方正小标宋_GBK" w:hAnsi="方正小标宋_GBK" w:eastAsia="方正小标宋_GBK" w:cs="方正小标宋_GBK"/>
          <w:sz w:val="84"/>
          <w:szCs w:val="84"/>
        </w:rPr>
      </w:pPr>
    </w:p>
    <w:p w14:paraId="2B49F2B7">
      <w:pPr>
        <w:pStyle w:val="13"/>
        <w:jc w:val="center"/>
        <w:rPr>
          <w:rFonts w:hint="eastAsia" w:ascii="方正小标宋_GBK" w:hAnsi="方正小标宋_GBK" w:eastAsia="方正小标宋_GBK" w:cs="方正小标宋_GBK"/>
          <w:sz w:val="84"/>
          <w:szCs w:val="84"/>
        </w:rPr>
      </w:pPr>
    </w:p>
    <w:p w14:paraId="661BBFC8">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5FB02ED5">
      <w:pPr>
        <w:pStyle w:val="13"/>
        <w:jc w:val="center"/>
        <w:rPr>
          <w:rFonts w:hint="eastAsia" w:ascii="方正小标宋_GBK" w:hAnsi="方正小标宋_GBK" w:eastAsia="方正小标宋_GBK" w:cs="方正小标宋_GBK"/>
          <w:sz w:val="84"/>
          <w:szCs w:val="84"/>
        </w:rPr>
      </w:pPr>
    </w:p>
    <w:p w14:paraId="3860F185">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50A5962C">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14:paraId="15F56BB3">
      <w:pPr>
        <w:pStyle w:val="13"/>
        <w:jc w:val="center"/>
        <w:rPr>
          <w:rFonts w:hint="eastAsia" w:ascii="仿宋_GB2312" w:hAnsi="仿宋_GB2312" w:eastAsia="仿宋_GB2312" w:cs="仿宋_GB2312"/>
          <w:b w:val="0"/>
          <w:bCs w:val="0"/>
          <w:sz w:val="72"/>
          <w:szCs w:val="72"/>
          <w:lang w:eastAsia="zh-CN"/>
        </w:rPr>
      </w:pPr>
    </w:p>
    <w:p w14:paraId="59473ECB">
      <w:pPr>
        <w:pStyle w:val="13"/>
        <w:jc w:val="center"/>
        <w:rPr>
          <w:rFonts w:hint="eastAsia" w:ascii="仿宋_GB2312" w:hAnsi="仿宋_GB2312" w:eastAsia="仿宋_GB2312" w:cs="仿宋_GB2312"/>
          <w:b w:val="0"/>
          <w:bCs w:val="0"/>
          <w:sz w:val="72"/>
          <w:szCs w:val="72"/>
          <w:lang w:eastAsia="zh-CN"/>
        </w:rPr>
      </w:pPr>
    </w:p>
    <w:p w14:paraId="1C5B344D">
      <w:pPr>
        <w:pStyle w:val="13"/>
        <w:jc w:val="both"/>
        <w:rPr>
          <w:rFonts w:hint="eastAsia" w:ascii="仿宋_GB2312" w:hAnsi="仿宋_GB2312" w:eastAsia="仿宋_GB2312" w:cs="仿宋_GB2312"/>
          <w:b w:val="0"/>
          <w:bCs w:val="0"/>
          <w:sz w:val="72"/>
          <w:szCs w:val="72"/>
          <w:lang w:eastAsia="zh-CN"/>
        </w:rPr>
      </w:pPr>
    </w:p>
    <w:p w14:paraId="325AF5B5">
      <w:pPr>
        <w:pStyle w:val="13"/>
        <w:jc w:val="center"/>
        <w:rPr>
          <w:rFonts w:hint="eastAsia" w:ascii="仿宋_GB2312" w:hAnsi="仿宋_GB2312" w:eastAsia="仿宋_GB2312" w:cs="仿宋_GB2312"/>
          <w:b w:val="0"/>
          <w:bCs w:val="0"/>
          <w:sz w:val="72"/>
          <w:szCs w:val="72"/>
          <w:lang w:eastAsia="zh-CN"/>
        </w:rPr>
      </w:pPr>
    </w:p>
    <w:p w14:paraId="6EDCF88A">
      <w:pPr>
        <w:pStyle w:val="13"/>
        <w:jc w:val="center"/>
        <w:rPr>
          <w:rFonts w:hint="eastAsia" w:ascii="仿宋_GB2312" w:hAnsi="仿宋_GB2312" w:eastAsia="仿宋_GB2312" w:cs="仿宋_GB2312"/>
          <w:b w:val="0"/>
          <w:bCs w:val="0"/>
          <w:sz w:val="72"/>
          <w:szCs w:val="72"/>
          <w:lang w:eastAsia="zh-CN"/>
        </w:rPr>
      </w:pPr>
    </w:p>
    <w:p w14:paraId="09543A9A">
      <w:pPr>
        <w:pStyle w:val="13"/>
        <w:jc w:val="center"/>
        <w:rPr>
          <w:rFonts w:hint="eastAsia" w:ascii="仿宋_GB2312" w:hAnsi="仿宋_GB2312" w:eastAsia="仿宋_GB2312" w:cs="仿宋_GB2312"/>
          <w:b w:val="0"/>
          <w:bCs w:val="0"/>
          <w:sz w:val="72"/>
          <w:szCs w:val="72"/>
          <w:lang w:eastAsia="zh-CN"/>
        </w:rPr>
      </w:pPr>
    </w:p>
    <w:p w14:paraId="5D0525A8">
      <w:pPr>
        <w:pStyle w:val="13"/>
        <w:jc w:val="center"/>
        <w:rPr>
          <w:rFonts w:hint="eastAsia" w:ascii="仿宋_GB2312" w:hAnsi="仿宋_GB2312" w:eastAsia="仿宋_GB2312" w:cs="仿宋_GB2312"/>
          <w:b w:val="0"/>
          <w:bCs w:val="0"/>
          <w:sz w:val="72"/>
          <w:szCs w:val="72"/>
          <w:lang w:eastAsia="zh-CN"/>
        </w:rPr>
      </w:pPr>
    </w:p>
    <w:p w14:paraId="7A44A82E">
      <w:pPr>
        <w:pStyle w:val="13"/>
        <w:jc w:val="both"/>
        <w:rPr>
          <w:rFonts w:hint="eastAsia" w:ascii="方正小标宋_GBK" w:hAnsi="方正小标宋_GBK" w:eastAsia="方正小标宋_GBK" w:cs="方正小标宋_GBK"/>
          <w:sz w:val="72"/>
          <w:szCs w:val="72"/>
          <w:lang w:eastAsia="zh-CN"/>
        </w:rPr>
      </w:pPr>
    </w:p>
    <w:p w14:paraId="06211665">
      <w:pPr>
        <w:pStyle w:val="13"/>
        <w:jc w:val="both"/>
        <w:rPr>
          <w:rFonts w:hint="eastAsia" w:ascii="方正小标宋_GBK" w:hAnsi="方正小标宋_GBK" w:eastAsia="方正小标宋_GBK" w:cs="方正小标宋_GBK"/>
          <w:sz w:val="72"/>
          <w:szCs w:val="72"/>
        </w:rPr>
      </w:pPr>
    </w:p>
    <w:p w14:paraId="1B35A532">
      <w:pPr>
        <w:pStyle w:val="13"/>
        <w:jc w:val="center"/>
        <w:rPr>
          <w:rFonts w:hint="eastAsia" w:ascii="方正小标宋_GBK" w:hAnsi="方正小标宋_GBK" w:eastAsia="方正小标宋_GBK" w:cs="方正小标宋_GBK"/>
          <w:sz w:val="72"/>
          <w:szCs w:val="72"/>
        </w:rPr>
      </w:pPr>
    </w:p>
    <w:p w14:paraId="4211CA91">
      <w:pPr>
        <w:pStyle w:val="13"/>
        <w:jc w:val="center"/>
        <w:rPr>
          <w:rFonts w:hint="eastAsia" w:ascii="方正小标宋_GBK" w:hAnsi="方正小标宋_GBK" w:eastAsia="方正小标宋_GBK" w:cs="方正小标宋_GBK"/>
          <w:sz w:val="72"/>
          <w:szCs w:val="72"/>
        </w:rPr>
      </w:pPr>
    </w:p>
    <w:p w14:paraId="7804FBAA">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7D53C949">
      <w:pPr>
        <w:pStyle w:val="13"/>
        <w:jc w:val="center"/>
        <w:rPr>
          <w:rFonts w:hint="eastAsia" w:ascii="方正小标宋_GBK" w:hAnsi="方正小标宋_GBK" w:eastAsia="方正小标宋_GBK" w:cs="方正小标宋_GBK"/>
          <w:sz w:val="70"/>
          <w:szCs w:val="70"/>
        </w:rPr>
      </w:pPr>
    </w:p>
    <w:p w14:paraId="4F77A5A6">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14:paraId="17862F93">
      <w:pPr>
        <w:pStyle w:val="13"/>
        <w:jc w:val="center"/>
        <w:rPr>
          <w:rFonts w:hint="eastAsia" w:ascii="方正小标宋_GBK" w:hAnsi="方正小标宋_GBK" w:eastAsia="方正小标宋_GBK" w:cs="方正小标宋_GBK"/>
          <w:sz w:val="70"/>
          <w:szCs w:val="70"/>
        </w:rPr>
      </w:pPr>
    </w:p>
    <w:p w14:paraId="6EEC30AB">
      <w:pPr>
        <w:pStyle w:val="13"/>
        <w:jc w:val="center"/>
        <w:rPr>
          <w:rFonts w:hint="eastAsia" w:ascii="方正小标宋_GBK" w:hAnsi="方正小标宋_GBK" w:eastAsia="方正小标宋_GBK" w:cs="方正小标宋_GBK"/>
          <w:sz w:val="70"/>
          <w:szCs w:val="70"/>
        </w:rPr>
      </w:pPr>
    </w:p>
    <w:p w14:paraId="417367C1">
      <w:pPr>
        <w:pStyle w:val="13"/>
        <w:jc w:val="center"/>
        <w:rPr>
          <w:rFonts w:hint="eastAsia" w:ascii="方正小标宋_GBK" w:hAnsi="方正小标宋_GBK" w:eastAsia="方正小标宋_GBK" w:cs="方正小标宋_GBK"/>
          <w:sz w:val="70"/>
          <w:szCs w:val="70"/>
        </w:rPr>
      </w:pPr>
    </w:p>
    <w:p w14:paraId="5EF1049C">
      <w:pPr>
        <w:pStyle w:val="13"/>
        <w:jc w:val="center"/>
        <w:rPr>
          <w:rFonts w:hint="eastAsia" w:ascii="方正小标宋_GBK" w:hAnsi="方正小标宋_GBK" w:eastAsia="方正小标宋_GBK" w:cs="方正小标宋_GBK"/>
          <w:sz w:val="70"/>
          <w:szCs w:val="70"/>
        </w:rPr>
      </w:pPr>
    </w:p>
    <w:p w14:paraId="7E4B3CF9">
      <w:pPr>
        <w:pStyle w:val="13"/>
        <w:jc w:val="center"/>
        <w:rPr>
          <w:rFonts w:hint="eastAsia" w:ascii="方正小标宋_GBK" w:hAnsi="方正小标宋_GBK" w:eastAsia="方正小标宋_GBK" w:cs="方正小标宋_GBK"/>
          <w:sz w:val="70"/>
          <w:szCs w:val="70"/>
        </w:rPr>
      </w:pPr>
    </w:p>
    <w:p w14:paraId="111D7AB8">
      <w:pPr>
        <w:widowControl/>
        <w:jc w:val="left"/>
        <w:rPr>
          <w:rFonts w:hint="eastAsia" w:ascii="仿宋_GB2312" w:hAnsi="仿宋_GB2312" w:eastAsia="仿宋_GB2312" w:cs="仿宋_GB2312"/>
          <w:sz w:val="32"/>
          <w:szCs w:val="32"/>
        </w:rPr>
      </w:pPr>
    </w:p>
    <w:p w14:paraId="2411C08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一、收入支出决算总体情况说明</w:t>
      </w:r>
    </w:p>
    <w:p w14:paraId="5CDCBAD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年度收</w:t>
      </w:r>
      <w:r>
        <w:rPr>
          <w:rFonts w:hint="eastAsia" w:ascii="仿宋_GB2312" w:hAnsi="仿宋_GB2312" w:eastAsia="仿宋_GB2312" w:cs="仿宋_GB2312"/>
          <w:sz w:val="32"/>
          <w:szCs w:val="32"/>
          <w:highlight w:val="none"/>
          <w:lang w:val="en-US" w:eastAsia="zh-CN"/>
        </w:rPr>
        <w:t>入</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val="en-US" w:eastAsia="zh-CN"/>
        </w:rPr>
        <w:t>561.68</w:t>
      </w:r>
      <w:r>
        <w:rPr>
          <w:rFonts w:hint="eastAsia" w:ascii="仿宋_GB2312" w:hAnsi="仿宋_GB2312" w:eastAsia="仿宋_GB2312" w:cs="仿宋_GB2312"/>
          <w:sz w:val="32"/>
          <w:szCs w:val="32"/>
          <w:highlight w:val="none"/>
        </w:rPr>
        <w:t>万元。与上年相比，减少</w:t>
      </w:r>
      <w:r>
        <w:rPr>
          <w:rFonts w:hint="eastAsia" w:ascii="仿宋_GB2312" w:hAnsi="仿宋_GB2312" w:eastAsia="仿宋_GB2312" w:cs="仿宋_GB2312"/>
          <w:sz w:val="32"/>
          <w:szCs w:val="32"/>
          <w:highlight w:val="none"/>
          <w:lang w:val="en-US" w:eastAsia="zh-CN"/>
        </w:rPr>
        <w:t>116.72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20.78</w:t>
      </w:r>
      <w:r>
        <w:rPr>
          <w:rFonts w:hint="eastAsia" w:ascii="仿宋_GB2312" w:hAnsi="仿宋_GB2312" w:eastAsia="仿宋_GB2312" w:cs="仿宋_GB2312"/>
          <w:sz w:val="32"/>
          <w:szCs w:val="32"/>
          <w:highlight w:val="none"/>
        </w:rPr>
        <w:t>%，主要是</w:t>
      </w:r>
      <w:r>
        <w:rPr>
          <w:rFonts w:hint="eastAsia" w:ascii="Times New Roman" w:hAnsi="Times New Roman" w:eastAsia="仿宋_GB2312"/>
          <w:sz w:val="32"/>
          <w:szCs w:val="32"/>
          <w:highlight w:val="none"/>
          <w:lang w:val="en-US" w:eastAsia="zh-CN"/>
        </w:rPr>
        <w:t>维修工程项目减少,收入减少</w:t>
      </w:r>
      <w:r>
        <w:rPr>
          <w:rFonts w:hint="eastAsia" w:ascii="仿宋_GB2312" w:hAnsi="仿宋_GB2312" w:eastAsia="仿宋_GB2312" w:cs="仿宋_GB2312"/>
          <w:sz w:val="32"/>
          <w:szCs w:val="32"/>
          <w:highlight w:val="none"/>
          <w:lang w:val="en-US" w:eastAsia="zh-CN"/>
        </w:rPr>
        <w:t>。</w:t>
      </w:r>
    </w:p>
    <w:p w14:paraId="0E0052D8">
      <w:pPr>
        <w:widowControl w:val="0"/>
        <w:autoSpaceDE w:val="0"/>
        <w:autoSpaceDN w:val="0"/>
        <w:adjustRightInd w:val="0"/>
        <w:ind w:firstLine="640" w:firstLineChars="200"/>
        <w:rPr>
          <w:rFonts w:hint="eastAsia" w:ascii="仿宋_GB2312" w:hAnsi="仿宋_GB2312" w:eastAsia="仿宋_GB2312" w:cs="仿宋_GB2312"/>
          <w:i/>
          <w:iCs/>
          <w:color w:val="000000"/>
          <w:kern w:val="0"/>
          <w:sz w:val="32"/>
          <w:szCs w:val="32"/>
          <w:highlight w:val="none"/>
          <w:lang w:val="en-US" w:eastAsia="zh-CN" w:bidi="ar-SA"/>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年度支</w:t>
      </w:r>
      <w:r>
        <w:rPr>
          <w:rFonts w:hint="eastAsia" w:ascii="仿宋_GB2312" w:hAnsi="仿宋_GB2312" w:eastAsia="仿宋_GB2312" w:cs="仿宋_GB2312"/>
          <w:sz w:val="32"/>
          <w:szCs w:val="32"/>
          <w:highlight w:val="none"/>
          <w:lang w:val="en-US" w:eastAsia="zh-CN"/>
        </w:rPr>
        <w:t>出</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val="en-US" w:eastAsia="zh-CN"/>
        </w:rPr>
        <w:t>561.68</w:t>
      </w:r>
      <w:r>
        <w:rPr>
          <w:rFonts w:hint="eastAsia" w:ascii="仿宋_GB2312" w:hAnsi="仿宋_GB2312" w:eastAsia="仿宋_GB2312" w:cs="仿宋_GB2312"/>
          <w:sz w:val="32"/>
          <w:szCs w:val="32"/>
          <w:highlight w:val="none"/>
        </w:rPr>
        <w:t>万元。与上年相比，减少</w:t>
      </w:r>
      <w:r>
        <w:rPr>
          <w:rFonts w:hint="eastAsia" w:ascii="仿宋_GB2312" w:hAnsi="仿宋_GB2312" w:eastAsia="仿宋_GB2312" w:cs="仿宋_GB2312"/>
          <w:sz w:val="32"/>
          <w:szCs w:val="32"/>
          <w:highlight w:val="none"/>
          <w:lang w:val="en-US" w:eastAsia="zh-CN"/>
        </w:rPr>
        <w:t>116.72</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减少</w:t>
      </w:r>
      <w:r>
        <w:rPr>
          <w:rFonts w:hint="eastAsia" w:ascii="仿宋_GB2312" w:hAnsi="仿宋_GB2312" w:eastAsia="仿宋_GB2312" w:cs="仿宋_GB2312"/>
          <w:sz w:val="32"/>
          <w:szCs w:val="32"/>
          <w:highlight w:val="none"/>
          <w:lang w:val="en-US" w:eastAsia="zh-CN"/>
        </w:rPr>
        <w:t>20.78</w:t>
      </w:r>
      <w:r>
        <w:rPr>
          <w:rFonts w:hint="eastAsia" w:ascii="仿宋_GB2312" w:hAnsi="仿宋_GB2312" w:eastAsia="仿宋_GB2312" w:cs="仿宋_GB2312"/>
          <w:sz w:val="32"/>
          <w:szCs w:val="32"/>
          <w:highlight w:val="none"/>
        </w:rPr>
        <w:t>%，主要是</w:t>
      </w:r>
      <w:r>
        <w:rPr>
          <w:rFonts w:hint="eastAsia" w:ascii="Times New Roman" w:hAnsi="Times New Roman" w:eastAsia="仿宋_GB2312"/>
          <w:sz w:val="32"/>
          <w:szCs w:val="32"/>
          <w:highlight w:val="none"/>
          <w:lang w:val="en-US" w:eastAsia="zh-CN"/>
        </w:rPr>
        <w:t>维修工程项目减少,支出减少</w:t>
      </w:r>
      <w:r>
        <w:rPr>
          <w:rFonts w:hint="eastAsia" w:ascii="仿宋_GB2312" w:hAnsi="仿宋_GB2312" w:eastAsia="仿宋_GB2312" w:cs="仿宋_GB2312"/>
          <w:sz w:val="32"/>
          <w:szCs w:val="32"/>
          <w:highlight w:val="none"/>
          <w:lang w:val="en-US" w:eastAsia="zh-CN"/>
        </w:rPr>
        <w:t>。</w:t>
      </w:r>
    </w:p>
    <w:p w14:paraId="07DA9E3F">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二、收入决算情况说明</w:t>
      </w:r>
    </w:p>
    <w:p w14:paraId="2A53B2A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561.68</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527.35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93.88</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34.33</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6.11</w:t>
      </w:r>
      <w:r>
        <w:rPr>
          <w:rFonts w:hint="eastAsia" w:ascii="仿宋_GB2312" w:hAnsi="仿宋_GB2312" w:eastAsia="仿宋_GB2312" w:cs="仿宋_GB2312"/>
          <w:sz w:val="32"/>
          <w:szCs w:val="32"/>
          <w:highlight w:val="none"/>
        </w:rPr>
        <w:t>%。</w:t>
      </w:r>
    </w:p>
    <w:p w14:paraId="2D1A2B4D">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三、支出决算情况说明</w:t>
      </w:r>
    </w:p>
    <w:p w14:paraId="2822293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561.68</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340.62</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60.64</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221.06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39.35</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14:paraId="69857526">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4ED35F49">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年度财政拨款收</w:t>
      </w:r>
      <w:r>
        <w:rPr>
          <w:rFonts w:hint="eastAsia" w:ascii="仿宋_GB2312" w:hAnsi="仿宋_GB2312" w:eastAsia="仿宋_GB2312" w:cs="仿宋_GB2312"/>
          <w:sz w:val="32"/>
          <w:szCs w:val="32"/>
          <w:highlight w:val="none"/>
          <w:lang w:val="en-US" w:eastAsia="zh-CN"/>
        </w:rPr>
        <w:t>入</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val="en-US" w:eastAsia="zh-CN"/>
        </w:rPr>
        <w:t>527.35</w:t>
      </w:r>
      <w:r>
        <w:rPr>
          <w:rFonts w:hint="eastAsia" w:ascii="仿宋_GB2312" w:hAnsi="仿宋_GB2312" w:eastAsia="仿宋_GB2312" w:cs="仿宋_GB2312"/>
          <w:sz w:val="32"/>
          <w:szCs w:val="32"/>
          <w:highlight w:val="none"/>
        </w:rPr>
        <w:t>万元，与上年相比，减少</w:t>
      </w:r>
      <w:r>
        <w:rPr>
          <w:rFonts w:hint="eastAsia" w:ascii="仿宋_GB2312" w:hAnsi="仿宋_GB2312" w:eastAsia="仿宋_GB2312" w:cs="仿宋_GB2312"/>
          <w:sz w:val="32"/>
          <w:szCs w:val="32"/>
          <w:highlight w:val="none"/>
          <w:lang w:val="en-US" w:eastAsia="zh-CN"/>
        </w:rPr>
        <w:t>124.93</w:t>
      </w:r>
      <w:r>
        <w:rPr>
          <w:rFonts w:hint="eastAsia" w:ascii="仿宋_GB2312" w:hAnsi="仿宋_GB2312" w:eastAsia="仿宋_GB2312" w:cs="仿宋_GB2312"/>
          <w:sz w:val="32"/>
          <w:szCs w:val="32"/>
          <w:highlight w:val="none"/>
        </w:rPr>
        <w:t>万元,减少</w:t>
      </w:r>
      <w:r>
        <w:rPr>
          <w:rFonts w:hint="eastAsia" w:ascii="仿宋_GB2312" w:hAnsi="仿宋_GB2312" w:eastAsia="仿宋_GB2312" w:cs="仿宋_GB2312"/>
          <w:sz w:val="32"/>
          <w:szCs w:val="32"/>
          <w:highlight w:val="none"/>
          <w:lang w:val="en-US" w:eastAsia="zh-CN"/>
        </w:rPr>
        <w:t>23.69</w:t>
      </w:r>
      <w:r>
        <w:rPr>
          <w:rFonts w:hint="eastAsia" w:ascii="仿宋_GB2312" w:hAnsi="仿宋_GB2312" w:eastAsia="仿宋_GB2312" w:cs="仿宋_GB2312"/>
          <w:sz w:val="32"/>
          <w:szCs w:val="32"/>
          <w:highlight w:val="none"/>
        </w:rPr>
        <w:t>%，主要是因为</w:t>
      </w:r>
      <w:r>
        <w:rPr>
          <w:rFonts w:hint="eastAsia" w:ascii="Times New Roman" w:hAnsi="Times New Roman" w:eastAsia="仿宋_GB2312"/>
          <w:sz w:val="32"/>
          <w:szCs w:val="32"/>
          <w:highlight w:val="none"/>
          <w:lang w:val="en-US" w:eastAsia="zh-CN"/>
        </w:rPr>
        <w:t>维修工程项目减少,收入减少</w:t>
      </w:r>
      <w:r>
        <w:rPr>
          <w:rFonts w:hint="eastAsia" w:ascii="仿宋_GB2312" w:hAnsi="仿宋_GB2312" w:eastAsia="仿宋_GB2312" w:cs="仿宋_GB2312"/>
          <w:sz w:val="32"/>
          <w:szCs w:val="32"/>
          <w:highlight w:val="none"/>
          <w:lang w:val="en-US" w:eastAsia="zh-CN"/>
        </w:rPr>
        <w:t>.</w:t>
      </w:r>
    </w:p>
    <w:p w14:paraId="50C99337">
      <w:pPr>
        <w:pStyle w:val="13"/>
        <w:keepNext w:val="0"/>
        <w:keepLines w:val="0"/>
        <w:pageBreakBefore w:val="0"/>
        <w:widowControl w:val="0"/>
        <w:kinsoku/>
        <w:wordWrap/>
        <w:overflowPunct/>
        <w:topLinePunct w:val="0"/>
        <w:bidi w:val="0"/>
        <w:snapToGrid/>
        <w:spacing w:line="600" w:lineRule="exact"/>
        <w:ind w:firstLine="64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年度财政拨款支</w:t>
      </w:r>
      <w:r>
        <w:rPr>
          <w:rFonts w:hint="eastAsia" w:ascii="仿宋_GB2312" w:hAnsi="仿宋_GB2312" w:eastAsia="仿宋_GB2312" w:cs="仿宋_GB2312"/>
          <w:sz w:val="32"/>
          <w:szCs w:val="32"/>
          <w:highlight w:val="none"/>
          <w:lang w:val="en-US" w:eastAsia="zh-CN"/>
        </w:rPr>
        <w:t>出</w:t>
      </w:r>
      <w:r>
        <w:rPr>
          <w:rFonts w:hint="eastAsia" w:ascii="仿宋_GB2312" w:hAnsi="仿宋_GB2312" w:eastAsia="仿宋_GB2312" w:cs="仿宋_GB2312"/>
          <w:sz w:val="32"/>
          <w:szCs w:val="32"/>
          <w:highlight w:val="none"/>
        </w:rPr>
        <w:t>总计</w:t>
      </w:r>
      <w:r>
        <w:rPr>
          <w:rFonts w:hint="eastAsia" w:ascii="仿宋_GB2312" w:hAnsi="仿宋_GB2312" w:eastAsia="仿宋_GB2312" w:cs="仿宋_GB2312"/>
          <w:sz w:val="32"/>
          <w:szCs w:val="32"/>
          <w:highlight w:val="none"/>
          <w:lang w:val="en-US" w:eastAsia="zh-CN"/>
        </w:rPr>
        <w:t>527.35</w:t>
      </w:r>
      <w:r>
        <w:rPr>
          <w:rFonts w:hint="eastAsia" w:ascii="仿宋_GB2312" w:hAnsi="仿宋_GB2312" w:eastAsia="仿宋_GB2312" w:cs="仿宋_GB2312"/>
          <w:sz w:val="32"/>
          <w:szCs w:val="32"/>
          <w:highlight w:val="none"/>
        </w:rPr>
        <w:t>万元，与上年相比，减少</w:t>
      </w:r>
      <w:r>
        <w:rPr>
          <w:rFonts w:hint="eastAsia" w:ascii="仿宋_GB2312" w:hAnsi="仿宋_GB2312" w:eastAsia="仿宋_GB2312" w:cs="仿宋_GB2312"/>
          <w:sz w:val="32"/>
          <w:szCs w:val="32"/>
          <w:highlight w:val="none"/>
          <w:lang w:val="en-US" w:eastAsia="zh-CN"/>
        </w:rPr>
        <w:t>124.93</w:t>
      </w:r>
      <w:r>
        <w:rPr>
          <w:rFonts w:hint="eastAsia" w:ascii="仿宋_GB2312" w:hAnsi="仿宋_GB2312" w:eastAsia="仿宋_GB2312" w:cs="仿宋_GB2312"/>
          <w:sz w:val="32"/>
          <w:szCs w:val="32"/>
          <w:highlight w:val="none"/>
        </w:rPr>
        <w:t>万元,减少</w:t>
      </w:r>
      <w:r>
        <w:rPr>
          <w:rFonts w:hint="eastAsia" w:ascii="仿宋_GB2312" w:hAnsi="仿宋_GB2312" w:eastAsia="仿宋_GB2312" w:cs="仿宋_GB2312"/>
          <w:sz w:val="32"/>
          <w:szCs w:val="32"/>
          <w:highlight w:val="none"/>
          <w:lang w:val="en-US" w:eastAsia="zh-CN"/>
        </w:rPr>
        <w:t>23.69</w:t>
      </w:r>
      <w:r>
        <w:rPr>
          <w:rFonts w:hint="eastAsia" w:ascii="仿宋_GB2312" w:hAnsi="仿宋_GB2312" w:eastAsia="仿宋_GB2312" w:cs="仿宋_GB2312"/>
          <w:sz w:val="32"/>
          <w:szCs w:val="32"/>
          <w:highlight w:val="none"/>
        </w:rPr>
        <w:t>%，主要是</w:t>
      </w:r>
      <w:r>
        <w:rPr>
          <w:rFonts w:hint="eastAsia" w:ascii="Times New Roman" w:hAnsi="Times New Roman" w:eastAsia="仿宋_GB2312"/>
          <w:sz w:val="32"/>
          <w:szCs w:val="32"/>
          <w:highlight w:val="none"/>
          <w:lang w:val="en-US" w:eastAsia="zh-CN"/>
        </w:rPr>
        <w:t>维修工程项目减少,支出减少</w:t>
      </w:r>
      <w:r>
        <w:rPr>
          <w:rFonts w:hint="eastAsia" w:ascii="仿宋_GB2312" w:hAnsi="仿宋_GB2312" w:eastAsia="仿宋_GB2312" w:cs="仿宋_GB2312"/>
          <w:sz w:val="32"/>
          <w:szCs w:val="32"/>
          <w:highlight w:val="none"/>
          <w:lang w:val="en-US" w:eastAsia="zh-CN"/>
        </w:rPr>
        <w:t>.</w:t>
      </w:r>
    </w:p>
    <w:p w14:paraId="4BB30A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6023283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highlight w:val="none"/>
        </w:rPr>
        <w:t>一）一般公共预算财政拨款支出决算总体情况</w:t>
      </w:r>
    </w:p>
    <w:p w14:paraId="2E354A7B">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年度财政拨款支出</w:t>
      </w:r>
      <w:r>
        <w:rPr>
          <w:rFonts w:hint="eastAsia" w:ascii="仿宋_GB2312" w:hAnsi="仿宋_GB2312" w:eastAsia="仿宋_GB2312" w:cs="仿宋_GB2312"/>
          <w:sz w:val="32"/>
          <w:szCs w:val="32"/>
          <w:highlight w:val="none"/>
          <w:lang w:val="en-US" w:eastAsia="zh-CN"/>
        </w:rPr>
        <w:t>527.35</w:t>
      </w:r>
      <w:r>
        <w:rPr>
          <w:rFonts w:hint="eastAsia" w:ascii="仿宋_GB2312" w:hAnsi="仿宋_GB2312" w:eastAsia="仿宋_GB2312" w:cs="仿宋_GB2312"/>
          <w:sz w:val="32"/>
          <w:szCs w:val="32"/>
          <w:highlight w:val="none"/>
        </w:rPr>
        <w:t>万元，占本年支出合计的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%，与上年相比，财政拨款支出减少</w:t>
      </w:r>
      <w:r>
        <w:rPr>
          <w:rFonts w:hint="eastAsia" w:ascii="仿宋_GB2312" w:hAnsi="仿宋_GB2312" w:eastAsia="仿宋_GB2312" w:cs="仿宋_GB2312"/>
          <w:sz w:val="32"/>
          <w:szCs w:val="32"/>
          <w:highlight w:val="none"/>
          <w:lang w:val="en-US" w:eastAsia="zh-CN"/>
        </w:rPr>
        <w:t>151.26</w:t>
      </w:r>
      <w:r>
        <w:rPr>
          <w:rFonts w:hint="eastAsia" w:ascii="仿宋_GB2312" w:hAnsi="仿宋_GB2312" w:eastAsia="仿宋_GB2312" w:cs="仿宋_GB2312"/>
          <w:sz w:val="32"/>
          <w:szCs w:val="32"/>
          <w:highlight w:val="none"/>
        </w:rPr>
        <w:t>万元，减少</w:t>
      </w:r>
      <w:r>
        <w:rPr>
          <w:rFonts w:hint="eastAsia" w:ascii="仿宋_GB2312" w:hAnsi="仿宋_GB2312" w:eastAsia="仿宋_GB2312" w:cs="仿宋_GB2312"/>
          <w:sz w:val="32"/>
          <w:szCs w:val="32"/>
          <w:highlight w:val="none"/>
          <w:lang w:val="en-US" w:eastAsia="zh-CN"/>
        </w:rPr>
        <w:t>28.68</w:t>
      </w:r>
      <w:r>
        <w:rPr>
          <w:rFonts w:hint="eastAsia" w:ascii="仿宋_GB2312" w:hAnsi="仿宋_GB2312" w:eastAsia="仿宋_GB2312" w:cs="仿宋_GB2312"/>
          <w:sz w:val="32"/>
          <w:szCs w:val="32"/>
          <w:highlight w:val="none"/>
        </w:rPr>
        <w:t>%，主要是</w:t>
      </w:r>
      <w:r>
        <w:rPr>
          <w:rFonts w:hint="eastAsia" w:ascii="Times New Roman" w:hAnsi="Times New Roman" w:eastAsia="仿宋_GB2312"/>
          <w:sz w:val="32"/>
          <w:szCs w:val="32"/>
          <w:highlight w:val="none"/>
          <w:lang w:eastAsia="zh-CN"/>
        </w:rPr>
        <w:t>财政经费紧张</w:t>
      </w:r>
      <w:r>
        <w:rPr>
          <w:rFonts w:hint="eastAsia" w:ascii="Times New Roman" w:hAnsi="Times New Roman" w:eastAsia="仿宋_GB2312"/>
          <w:sz w:val="32"/>
          <w:szCs w:val="32"/>
          <w:highlight w:val="none"/>
          <w:lang w:eastAsia="zh-CN"/>
        </w:rPr>
        <w:t>，疫情后经济形势严峻，各项开支要厉行节约，减少开支。</w:t>
      </w:r>
    </w:p>
    <w:p w14:paraId="66C54C85">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（二）一般公共预算财政拨款支出决算结构情况</w:t>
      </w:r>
    </w:p>
    <w:p w14:paraId="462449C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年度财政拨款支出</w:t>
      </w:r>
      <w:r>
        <w:rPr>
          <w:rFonts w:hint="eastAsia" w:ascii="仿宋_GB2312" w:hAnsi="仿宋_GB2312" w:eastAsia="仿宋_GB2312" w:cs="仿宋_GB2312"/>
          <w:sz w:val="32"/>
          <w:szCs w:val="32"/>
          <w:highlight w:val="none"/>
          <w:lang w:val="en-US" w:eastAsia="zh-CN"/>
        </w:rPr>
        <w:t>527.35</w:t>
      </w:r>
      <w:r>
        <w:rPr>
          <w:rFonts w:hint="eastAsia" w:ascii="仿宋_GB2312" w:hAnsi="仿宋_GB2312" w:eastAsia="仿宋_GB2312" w:cs="仿宋_GB2312"/>
          <w:sz w:val="32"/>
          <w:szCs w:val="32"/>
          <w:highlight w:val="none"/>
        </w:rPr>
        <w:t>万元，主要用于以下方面：教育（类）支出</w:t>
      </w:r>
      <w:r>
        <w:rPr>
          <w:rFonts w:hint="eastAsia" w:ascii="仿宋_GB2312" w:hAnsi="仿宋_GB2312" w:eastAsia="仿宋_GB2312" w:cs="仿宋_GB2312"/>
          <w:sz w:val="32"/>
          <w:szCs w:val="32"/>
          <w:highlight w:val="none"/>
          <w:lang w:val="en-US" w:eastAsia="zh-CN"/>
        </w:rPr>
        <w:t>448.16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84.98</w:t>
      </w:r>
      <w:r>
        <w:rPr>
          <w:rFonts w:hint="eastAsia" w:ascii="仿宋_GB2312" w:hAnsi="仿宋_GB2312" w:eastAsia="仿宋_GB2312" w:cs="仿宋_GB2312"/>
          <w:sz w:val="32"/>
          <w:szCs w:val="32"/>
          <w:highlight w:val="none"/>
        </w:rPr>
        <w:t>%;</w:t>
      </w:r>
      <w:r>
        <w:rPr>
          <w:rFonts w:hint="eastAsia" w:ascii="Times New Roman" w:hAnsi="Times New Roman" w:eastAsia="仿宋_GB2312"/>
          <w:sz w:val="32"/>
          <w:szCs w:val="32"/>
          <w:highlight w:val="none"/>
        </w:rPr>
        <w:t>社会保障和就业</w:t>
      </w:r>
      <w:r>
        <w:rPr>
          <w:rFonts w:hint="eastAsia" w:ascii="Times New Roman" w:hAnsi="Times New Roman" w:eastAsia="仿宋_GB2312"/>
          <w:sz w:val="32"/>
          <w:szCs w:val="32"/>
          <w:highlight w:val="none"/>
          <w:lang w:eastAsia="zh-CN"/>
        </w:rPr>
        <w:t>（类）</w:t>
      </w:r>
      <w:r>
        <w:rPr>
          <w:rFonts w:hint="eastAsia" w:ascii="Times New Roman" w:hAnsi="Times New Roman" w:eastAsia="仿宋_GB2312"/>
          <w:sz w:val="32"/>
          <w:szCs w:val="32"/>
          <w:highlight w:val="none"/>
        </w:rPr>
        <w:t>支出</w:t>
      </w:r>
      <w:r>
        <w:rPr>
          <w:rFonts w:hint="eastAsia" w:ascii="Times New Roman" w:hAnsi="Times New Roman" w:eastAsia="仿宋_GB2312"/>
          <w:sz w:val="32"/>
          <w:szCs w:val="32"/>
          <w:highlight w:val="none"/>
          <w:lang w:val="en-US" w:eastAsia="zh-CN"/>
        </w:rPr>
        <w:t>32.43万元，占6.14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，卫生健康（类）支出</w:t>
      </w:r>
      <w:r>
        <w:rPr>
          <w:rFonts w:hint="eastAsia" w:ascii="Times New Roman" w:hAnsi="Times New Roman" w:eastAsia="仿宋_GB2312"/>
          <w:sz w:val="32"/>
          <w:szCs w:val="32"/>
          <w:highlight w:val="none"/>
          <w:lang w:val="en-US" w:eastAsia="zh-CN"/>
        </w:rPr>
        <w:t>23.53万元，占4.46</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，住房保障（类）支出</w:t>
      </w:r>
      <w:r>
        <w:rPr>
          <w:rFonts w:hint="eastAsia" w:ascii="Times New Roman" w:hAnsi="Times New Roman" w:eastAsia="仿宋_GB2312"/>
          <w:sz w:val="32"/>
          <w:szCs w:val="32"/>
          <w:highlight w:val="none"/>
          <w:lang w:val="en-US" w:eastAsia="zh-CN"/>
        </w:rPr>
        <w:t>23.23万元，占4.4</w:t>
      </w:r>
      <w:r>
        <w:rPr>
          <w:rFonts w:hint="eastAsia" w:ascii="Times New Roman" w:hAnsi="Times New Roman" w:eastAsia="仿宋_GB2312"/>
          <w:sz w:val="32"/>
          <w:szCs w:val="32"/>
          <w:highlight w:val="none"/>
        </w:rPr>
        <w:t>%</w:t>
      </w:r>
      <w:r>
        <w:rPr>
          <w:rFonts w:hint="eastAsia" w:ascii="Times New Roman" w:hAnsi="Times New Roman" w:eastAsia="仿宋_GB2312"/>
          <w:sz w:val="32"/>
          <w:szCs w:val="32"/>
          <w:highlight w:val="none"/>
          <w:lang w:eastAsia="zh-CN"/>
        </w:rPr>
        <w:t>。</w:t>
      </w:r>
    </w:p>
    <w:p w14:paraId="5CDBADF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rPr>
        <w:t>（三）一般公</w:t>
      </w:r>
      <w:r>
        <w:rPr>
          <w:rFonts w:hint="eastAsia" w:ascii="仿宋_GB2312" w:hAnsi="仿宋_GB2312" w:eastAsia="仿宋_GB2312" w:cs="仿宋_GB2312"/>
          <w:b w:val="0"/>
          <w:bCs/>
          <w:sz w:val="32"/>
          <w:szCs w:val="32"/>
          <w:highlight w:val="none"/>
        </w:rPr>
        <w:t>共预算财政拨款支出决算具体情况</w:t>
      </w:r>
    </w:p>
    <w:p w14:paraId="5B07DAE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年度财政拨款支出年初预算数为</w:t>
      </w:r>
      <w:r>
        <w:rPr>
          <w:rFonts w:hint="eastAsia" w:ascii="仿宋_GB2312" w:hAnsi="仿宋_GB2312" w:eastAsia="仿宋_GB2312" w:cs="仿宋_GB2312"/>
          <w:sz w:val="32"/>
          <w:szCs w:val="32"/>
          <w:highlight w:val="none"/>
          <w:lang w:val="en-US" w:eastAsia="zh-CN"/>
        </w:rPr>
        <w:t>561.69</w:t>
      </w:r>
      <w:r>
        <w:rPr>
          <w:rFonts w:hint="eastAsia" w:ascii="仿宋_GB2312" w:hAnsi="仿宋_GB2312" w:eastAsia="仿宋_GB2312" w:cs="仿宋_GB2312"/>
          <w:sz w:val="32"/>
          <w:szCs w:val="32"/>
          <w:highlight w:val="none"/>
        </w:rPr>
        <w:t>万元，支出决算数为</w:t>
      </w:r>
      <w:r>
        <w:rPr>
          <w:rFonts w:hint="eastAsia" w:ascii="仿宋_GB2312" w:hAnsi="仿宋_GB2312" w:eastAsia="仿宋_GB2312" w:cs="仿宋_GB2312"/>
          <w:sz w:val="32"/>
          <w:szCs w:val="32"/>
          <w:highlight w:val="none"/>
          <w:lang w:val="en-US" w:eastAsia="zh-CN"/>
        </w:rPr>
        <w:t>561.68</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%，其中：</w:t>
      </w:r>
    </w:p>
    <w:p w14:paraId="237A4D60">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1、一般公共服务</w:t>
      </w:r>
      <w:r>
        <w:rPr>
          <w:rFonts w:hint="eastAsia" w:ascii="Times New Roman" w:hAnsi="Times New Roman" w:eastAsia="仿宋_GB2312"/>
          <w:sz w:val="32"/>
          <w:szCs w:val="32"/>
          <w:highlight w:val="none"/>
          <w:lang w:eastAsia="zh-CN"/>
        </w:rPr>
        <w:t>教育</w:t>
      </w:r>
      <w:r>
        <w:rPr>
          <w:rFonts w:hint="eastAsia" w:ascii="Times New Roman" w:hAnsi="Times New Roman" w:eastAsia="仿宋_GB2312"/>
          <w:sz w:val="32"/>
          <w:szCs w:val="32"/>
          <w:highlight w:val="none"/>
        </w:rPr>
        <w:t>（类）</w:t>
      </w:r>
      <w:r>
        <w:rPr>
          <w:rFonts w:hint="eastAsia" w:ascii="Times New Roman" w:hAnsi="Times New Roman" w:eastAsia="仿宋_GB2312"/>
          <w:sz w:val="32"/>
          <w:szCs w:val="32"/>
          <w:highlight w:val="none"/>
          <w:lang w:eastAsia="zh-CN"/>
        </w:rPr>
        <w:t>普通教育</w:t>
      </w:r>
      <w:r>
        <w:rPr>
          <w:rFonts w:hint="eastAsia" w:ascii="Times New Roman" w:hAnsi="Times New Roman" w:eastAsia="仿宋_GB2312"/>
          <w:sz w:val="32"/>
          <w:szCs w:val="32"/>
          <w:highlight w:val="none"/>
        </w:rPr>
        <w:t>（款）</w:t>
      </w:r>
      <w:r>
        <w:rPr>
          <w:rFonts w:hint="eastAsia" w:ascii="Times New Roman" w:hAnsi="Times New Roman" w:eastAsia="仿宋_GB2312"/>
          <w:sz w:val="32"/>
          <w:szCs w:val="32"/>
          <w:highlight w:val="none"/>
          <w:lang w:eastAsia="zh-CN"/>
        </w:rPr>
        <w:t>小学教育</w:t>
      </w:r>
      <w:r>
        <w:rPr>
          <w:rFonts w:hint="eastAsia" w:ascii="Times New Roman" w:hAnsi="Times New Roman" w:eastAsia="仿宋_GB2312"/>
          <w:sz w:val="32"/>
          <w:szCs w:val="32"/>
          <w:highlight w:val="none"/>
        </w:rPr>
        <w:t>（项）</w:t>
      </w:r>
      <w:r>
        <w:rPr>
          <w:rFonts w:hint="eastAsia" w:ascii="仿宋_GB2312" w:hAnsi="仿宋_GB2312" w:eastAsia="仿宋_GB2312" w:cs="仿宋_GB2312"/>
          <w:sz w:val="32"/>
          <w:szCs w:val="32"/>
          <w:highlight w:val="none"/>
        </w:rPr>
        <w:t>。</w:t>
      </w:r>
    </w:p>
    <w:p w14:paraId="1046E42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eastAsia="zh-CN"/>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395.5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395.49</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%，决算数小于年初预算数的主要原因是：</w:t>
      </w:r>
      <w:r>
        <w:rPr>
          <w:rFonts w:hint="eastAsia" w:ascii="Times New Roman" w:hAnsi="Times New Roman" w:eastAsia="仿宋_GB2312"/>
          <w:color w:val="auto"/>
          <w:sz w:val="32"/>
          <w:szCs w:val="32"/>
          <w:highlight w:val="none"/>
          <w:lang w:eastAsia="zh-CN"/>
        </w:rPr>
        <w:t>厉行节约，节省开支。</w:t>
      </w:r>
    </w:p>
    <w:p w14:paraId="3443D2A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2、一般公共服务</w:t>
      </w:r>
      <w:r>
        <w:rPr>
          <w:rFonts w:hint="eastAsia" w:ascii="Times New Roman" w:hAnsi="Times New Roman" w:eastAsia="仿宋_GB2312"/>
          <w:color w:val="auto"/>
          <w:sz w:val="32"/>
          <w:szCs w:val="32"/>
          <w:highlight w:val="none"/>
          <w:lang w:eastAsia="zh-CN"/>
        </w:rPr>
        <w:t>教育</w:t>
      </w:r>
      <w:r>
        <w:rPr>
          <w:rFonts w:hint="eastAsia" w:ascii="Times New Roman" w:hAnsi="Times New Roman" w:eastAsia="仿宋_GB2312"/>
          <w:color w:val="auto"/>
          <w:sz w:val="32"/>
          <w:szCs w:val="32"/>
          <w:highlight w:val="none"/>
        </w:rPr>
        <w:t>（类）</w:t>
      </w:r>
      <w:r>
        <w:rPr>
          <w:rFonts w:hint="eastAsia" w:ascii="Times New Roman" w:hAnsi="Times New Roman" w:eastAsia="仿宋_GB2312"/>
          <w:color w:val="auto"/>
          <w:sz w:val="32"/>
          <w:szCs w:val="32"/>
          <w:highlight w:val="none"/>
          <w:lang w:eastAsia="zh-CN"/>
        </w:rPr>
        <w:t>普通教育</w:t>
      </w:r>
      <w:r>
        <w:rPr>
          <w:rFonts w:hint="eastAsia" w:ascii="Times New Roman" w:hAnsi="Times New Roman" w:eastAsia="仿宋_GB2312"/>
          <w:color w:val="auto"/>
          <w:sz w:val="32"/>
          <w:szCs w:val="32"/>
          <w:highlight w:val="none"/>
        </w:rPr>
        <w:t>（款）</w:t>
      </w:r>
      <w:r>
        <w:rPr>
          <w:rFonts w:hint="eastAsia" w:ascii="Times New Roman" w:hAnsi="Times New Roman" w:eastAsia="仿宋_GB2312"/>
          <w:color w:val="auto"/>
          <w:sz w:val="32"/>
          <w:szCs w:val="32"/>
          <w:highlight w:val="none"/>
          <w:lang w:val="en-US" w:eastAsia="zh-CN"/>
        </w:rPr>
        <w:t>学前教育</w:t>
      </w:r>
      <w:r>
        <w:rPr>
          <w:rFonts w:hint="eastAsia" w:ascii="Times New Roman" w:hAnsi="Times New Roman" w:eastAsia="仿宋_GB2312"/>
          <w:color w:val="auto"/>
          <w:sz w:val="32"/>
          <w:szCs w:val="32"/>
          <w:highlight w:val="none"/>
        </w:rPr>
        <w:t>（项）</w:t>
      </w:r>
      <w:r>
        <w:rPr>
          <w:rFonts w:hint="eastAsia" w:ascii="仿宋_GB2312" w:hAnsi="仿宋_GB2312" w:eastAsia="仿宋_GB2312" w:cs="仿宋_GB2312"/>
          <w:sz w:val="32"/>
          <w:szCs w:val="32"/>
          <w:highlight w:val="none"/>
        </w:rPr>
        <w:t>。</w:t>
      </w:r>
    </w:p>
    <w:p w14:paraId="6D40D851">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年初预算为</w:t>
      </w:r>
      <w:r>
        <w:rPr>
          <w:rFonts w:hint="eastAsia" w:ascii="仿宋_GB2312" w:hAnsi="仿宋_GB2312" w:eastAsia="仿宋_GB2312" w:cs="仿宋_GB2312"/>
          <w:sz w:val="32"/>
          <w:szCs w:val="32"/>
          <w:highlight w:val="none"/>
          <w:lang w:val="en-US" w:eastAsia="zh-CN"/>
        </w:rPr>
        <w:t>527.36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527.35</w:t>
      </w:r>
      <w:r>
        <w:rPr>
          <w:rFonts w:hint="eastAsia" w:ascii="仿宋_GB2312" w:hAnsi="仿宋_GB2312" w:eastAsia="仿宋_GB2312" w:cs="仿宋_GB2312"/>
          <w:sz w:val="32"/>
          <w:szCs w:val="32"/>
          <w:highlight w:val="none"/>
        </w:rPr>
        <w:t>万元，完成年初预算的</w:t>
      </w:r>
      <w:r>
        <w:rPr>
          <w:rFonts w:hint="eastAsia" w:ascii="仿宋_GB2312" w:hAnsi="仿宋_GB2312" w:eastAsia="仿宋_GB2312" w:cs="仿宋_GB2312"/>
          <w:sz w:val="32"/>
          <w:szCs w:val="32"/>
          <w:highlight w:val="none"/>
          <w:lang w:val="en-US" w:eastAsia="zh-CN"/>
        </w:rPr>
        <w:t>99.99</w:t>
      </w:r>
      <w:r>
        <w:rPr>
          <w:rFonts w:hint="eastAsia" w:ascii="仿宋_GB2312" w:hAnsi="仿宋_GB2312" w:eastAsia="仿宋_GB2312" w:cs="仿宋_GB2312"/>
          <w:sz w:val="32"/>
          <w:szCs w:val="32"/>
          <w:highlight w:val="none"/>
        </w:rPr>
        <w:t>%，决算数大于（小于）年初预算数的主要原因是：</w:t>
      </w:r>
      <w:r>
        <w:rPr>
          <w:rFonts w:hint="eastAsia" w:ascii="Times New Roman" w:hAnsi="Times New Roman" w:eastAsia="仿宋_GB2312"/>
          <w:color w:val="auto"/>
          <w:sz w:val="32"/>
          <w:szCs w:val="32"/>
          <w:highlight w:val="none"/>
          <w:lang w:eastAsia="zh-CN"/>
        </w:rPr>
        <w:t>厉行节约，节省开支。</w:t>
      </w:r>
    </w:p>
    <w:p w14:paraId="656A1DDD">
      <w:pPr>
        <w:pStyle w:val="13"/>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pPr>
      <w:bookmarkStart w:id="0" w:name="OLE_LINK6"/>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w:t>
      </w:r>
      <w:bookmarkEnd w:id="0"/>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社会保障和就业（类）行政事业单位养老 （款）机关事业单位基本养老保险缴费支出（项）</w:t>
      </w:r>
    </w:p>
    <w:p w14:paraId="25699121">
      <w:pPr>
        <w:pStyle w:val="13"/>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default" w:ascii="Times New Roman" w:hAnsi="Times New Roman" w:eastAsia="仿宋_GB2312"/>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 xml:space="preserve">        </w:t>
      </w:r>
      <w:r>
        <w:rPr>
          <w:rFonts w:hint="eastAsia" w:ascii="Times New Roman" w:hAnsi="Times New Roman" w:eastAsia="仿宋_GB2312"/>
          <w:color w:val="000000" w:themeColor="text1"/>
          <w:sz w:val="32"/>
          <w:szCs w:val="32"/>
          <w:highlight w:val="none"/>
          <w14:textFill>
            <w14:solidFill>
              <w14:schemeClr w14:val="tx1"/>
            </w14:solidFill>
          </w14:textFill>
        </w:rPr>
        <w:t>年初预算为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30.16</w:t>
      </w:r>
      <w:r>
        <w:rPr>
          <w:rFonts w:hint="eastAsia" w:ascii="Times New Roman" w:hAnsi="Times New Roman" w:eastAsia="仿宋_GB2312"/>
          <w:color w:val="000000" w:themeColor="text1"/>
          <w:sz w:val="32"/>
          <w:szCs w:val="32"/>
          <w:highlight w:val="none"/>
          <w14:textFill>
            <w14:solidFill>
              <w14:schemeClr w14:val="tx1"/>
            </w14:solidFill>
          </w14:textFill>
        </w:rPr>
        <w:t>万元，支出决算为</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30.15</w:t>
      </w:r>
      <w:r>
        <w:rPr>
          <w:rFonts w:hint="eastAsia" w:ascii="Times New Roman" w:hAnsi="Times New Roman" w:eastAsia="仿宋_GB2312"/>
          <w:color w:val="000000" w:themeColor="text1"/>
          <w:sz w:val="32"/>
          <w:szCs w:val="32"/>
          <w:highlight w:val="none"/>
          <w14:textFill>
            <w14:solidFill>
              <w14:schemeClr w14:val="tx1"/>
            </w14:solidFill>
          </w14:textFill>
        </w:rPr>
        <w:t>万元，</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完成年初预算的</w:t>
      </w:r>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99.99%，</w:t>
      </w:r>
      <w:r>
        <w:rPr>
          <w:rFonts w:hint="eastAsia" w:ascii="Times New Roman" w:hAnsi="Times New Roman" w:eastAsia="仿宋_GB2312"/>
          <w:color w:val="000000" w:themeColor="text1"/>
          <w:sz w:val="32"/>
          <w:szCs w:val="32"/>
          <w:highlight w:val="none"/>
          <w14:textFill>
            <w14:solidFill>
              <w14:schemeClr w14:val="tx1"/>
            </w14:solidFill>
          </w14:textFill>
        </w:rPr>
        <w:t>决算数</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小</w:t>
      </w:r>
      <w:r>
        <w:rPr>
          <w:rFonts w:hint="eastAsia" w:ascii="Times New Roman" w:hAnsi="Times New Roman" w:eastAsia="仿宋_GB2312"/>
          <w:color w:val="000000" w:themeColor="text1"/>
          <w:sz w:val="32"/>
          <w:szCs w:val="32"/>
          <w:highlight w:val="none"/>
          <w14:textFill>
            <w14:solidFill>
              <w14:schemeClr w14:val="tx1"/>
            </w14:solidFill>
          </w14:textFill>
        </w:rPr>
        <w:t>于年初预算数的主要原因是：</w:t>
      </w:r>
      <w:r>
        <w:rPr>
          <w:rFonts w:hint="eastAsia" w:ascii="Times New Roman" w:hAnsi="Times New Roman" w:eastAsia="仿宋_GB2312"/>
          <w:color w:val="000000" w:themeColor="text1"/>
          <w:sz w:val="32"/>
          <w:szCs w:val="32"/>
          <w:highlight w:val="none"/>
          <w:lang w:eastAsia="zh-CN"/>
          <w14:textFill>
            <w14:solidFill>
              <w14:schemeClr w14:val="tx1"/>
            </w14:solidFill>
          </w14:textFill>
        </w:rPr>
        <w:t>人员经费减少。</w:t>
      </w:r>
    </w:p>
    <w:p w14:paraId="26471C97">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bookmarkStart w:id="1" w:name="OLE_LINK2"/>
      <w:r>
        <w:rPr>
          <w:rFonts w:hint="eastAsia" w:ascii="Times New Roman" w:hAnsi="Times New Roman" w:eastAsia="仿宋_GB2312"/>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sz w:val="32"/>
          <w:szCs w:val="32"/>
          <w:highlight w:val="none"/>
          <w:lang w:val="en-US" w:eastAsia="zh-CN"/>
        </w:rPr>
        <w:t>卫生健康（类）行政事业单位医疗 （款）</w:t>
      </w:r>
      <w:bookmarkEnd w:id="1"/>
      <w:r>
        <w:rPr>
          <w:rFonts w:hint="eastAsia" w:ascii="Times New Roman" w:hAnsi="Times New Roman" w:eastAsia="仿宋_GB2312"/>
          <w:sz w:val="32"/>
          <w:szCs w:val="32"/>
          <w:highlight w:val="none"/>
          <w:lang w:val="en-US" w:eastAsia="zh-CN"/>
        </w:rPr>
        <w:t xml:space="preserve">事业单位医疗（项） </w:t>
      </w:r>
    </w:p>
    <w:p w14:paraId="31A56AD9">
      <w:pPr>
        <w:pStyle w:val="13"/>
        <w:keepNext w:val="0"/>
        <w:keepLines w:val="0"/>
        <w:pageBreakBefore w:val="0"/>
        <w:widowControl w:val="0"/>
        <w:kinsoku/>
        <w:wordWrap/>
        <w:overflowPunct/>
        <w:topLinePunct w:val="0"/>
        <w:bidi w:val="0"/>
        <w:snapToGrid/>
        <w:spacing w:line="600" w:lineRule="exact"/>
        <w:ind w:firstLine="1280" w:firstLineChars="40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16.29</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16.28</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完成年初预算的</w:t>
      </w:r>
      <w:r>
        <w:rPr>
          <w:rFonts w:hint="eastAsia" w:ascii="Times New Roman" w:hAnsi="Times New Roman" w:eastAsia="仿宋_GB2312"/>
          <w:sz w:val="32"/>
          <w:szCs w:val="32"/>
          <w:highlight w:val="none"/>
          <w:lang w:val="en-US" w:eastAsia="zh-CN"/>
        </w:rPr>
        <w:t>99.99%，</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eastAsia="zh-CN"/>
        </w:rPr>
        <w:t>人员经费减少。</w:t>
      </w:r>
      <w:r>
        <w:rPr>
          <w:rFonts w:hint="eastAsia" w:ascii="Times New Roman" w:hAnsi="Times New Roman" w:eastAsia="仿宋_GB2312"/>
          <w:sz w:val="32"/>
          <w:szCs w:val="32"/>
          <w:highlight w:val="none"/>
          <w:lang w:val="en-US" w:eastAsia="zh-CN"/>
        </w:rPr>
        <w:t xml:space="preserve">                                  </w:t>
      </w:r>
    </w:p>
    <w:p w14:paraId="4366F576">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bookmarkStart w:id="2" w:name="OLE_LINK5"/>
      <w:r>
        <w:rPr>
          <w:rFonts w:hint="eastAsia" w:ascii="Times New Roman" w:hAnsi="Times New Roman" w:eastAsia="仿宋_GB2312"/>
          <w:sz w:val="32"/>
          <w:szCs w:val="32"/>
          <w:highlight w:val="none"/>
          <w:lang w:val="en-US" w:eastAsia="zh-CN"/>
        </w:rPr>
        <w:t>5、卫生健康（类）行政事业单位医疗（款）</w:t>
      </w:r>
      <w:bookmarkEnd w:id="2"/>
      <w:r>
        <w:rPr>
          <w:rFonts w:hint="eastAsia" w:ascii="Times New Roman" w:hAnsi="Times New Roman" w:eastAsia="仿宋_GB2312"/>
          <w:sz w:val="32"/>
          <w:szCs w:val="32"/>
          <w:highlight w:val="none"/>
          <w:lang w:val="en-US" w:eastAsia="zh-CN"/>
        </w:rPr>
        <w:t>公务员医疗补助（项）</w:t>
      </w:r>
    </w:p>
    <w:p w14:paraId="6238FA4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7.25</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7.24</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完成年初预算的</w:t>
      </w:r>
      <w:r>
        <w:rPr>
          <w:rFonts w:hint="eastAsia" w:ascii="Times New Roman" w:hAnsi="Times New Roman" w:eastAsia="仿宋_GB2312"/>
          <w:sz w:val="32"/>
          <w:szCs w:val="32"/>
          <w:highlight w:val="none"/>
          <w:lang w:val="en-US" w:eastAsia="zh-CN"/>
        </w:rPr>
        <w:t>99.99%，</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eastAsia="zh-CN"/>
        </w:rPr>
        <w:t>小</w:t>
      </w:r>
      <w:r>
        <w:rPr>
          <w:rFonts w:hint="eastAsia" w:ascii="Times New Roman" w:hAnsi="Times New Roman" w:eastAsia="仿宋_GB2312"/>
          <w:sz w:val="32"/>
          <w:szCs w:val="32"/>
          <w:highlight w:val="none"/>
        </w:rPr>
        <w:t>于年初预算数的主要原因是：</w:t>
      </w:r>
      <w:r>
        <w:rPr>
          <w:rFonts w:hint="eastAsia" w:ascii="Times New Roman" w:hAnsi="Times New Roman" w:eastAsia="仿宋_GB2312"/>
          <w:sz w:val="32"/>
          <w:szCs w:val="32"/>
          <w:highlight w:val="none"/>
          <w:lang w:eastAsia="zh-CN"/>
        </w:rPr>
        <w:t>人员经费减少。</w:t>
      </w:r>
    </w:p>
    <w:p w14:paraId="4FB98E43">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6、卫生健康（类） 行政事业单位医疗 （款）其他行政事业单位医疗支出（项）</w:t>
      </w:r>
    </w:p>
    <w:p w14:paraId="5002E4D2">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 xml:space="preserve"> </w:t>
      </w:r>
      <w:bookmarkStart w:id="3" w:name="OLE_LINK4"/>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2.27</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2.27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于年初预算数</w:t>
      </w:r>
      <w:r>
        <w:rPr>
          <w:rFonts w:hint="eastAsia" w:ascii="Times New Roman" w:hAnsi="Times New Roman" w:eastAsia="仿宋_GB2312"/>
          <w:sz w:val="32"/>
          <w:szCs w:val="32"/>
          <w:highlight w:val="none"/>
          <w:lang w:eastAsia="zh-CN"/>
        </w:rPr>
        <w:t>。</w:t>
      </w:r>
    </w:p>
    <w:bookmarkEnd w:id="3"/>
    <w:p w14:paraId="664D530F">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highlight w:val="none"/>
          <w:lang w:val="en-US" w:eastAsia="zh-CN"/>
        </w:rPr>
      </w:pPr>
      <w:r>
        <w:rPr>
          <w:rFonts w:hint="eastAsia" w:ascii="Times New Roman" w:hAnsi="Times New Roman" w:eastAsia="仿宋_GB2312"/>
          <w:sz w:val="32"/>
          <w:szCs w:val="32"/>
          <w:highlight w:val="none"/>
          <w:lang w:val="en-US" w:eastAsia="zh-CN"/>
        </w:rPr>
        <w:t>7、</w:t>
      </w:r>
      <w:r>
        <w:rPr>
          <w:rFonts w:hint="default" w:ascii="Times New Roman" w:hAnsi="Times New Roman" w:eastAsia="仿宋_GB2312"/>
          <w:sz w:val="32"/>
          <w:szCs w:val="32"/>
          <w:highlight w:val="none"/>
          <w:lang w:val="en-US" w:eastAsia="zh-CN"/>
        </w:rPr>
        <w:t>住房保障</w:t>
      </w:r>
      <w:r>
        <w:rPr>
          <w:rFonts w:hint="eastAsia" w:ascii="Times New Roman" w:hAnsi="Times New Roman" w:eastAsia="仿宋_GB2312"/>
          <w:sz w:val="32"/>
          <w:szCs w:val="32"/>
          <w:highlight w:val="none"/>
          <w:lang w:val="en-US" w:eastAsia="zh-CN"/>
        </w:rPr>
        <w:t>（类）住房改革（款）住房公积金（项）</w:t>
      </w:r>
    </w:p>
    <w:p w14:paraId="5DBFD7C4">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color w:val="auto"/>
          <w:sz w:val="32"/>
          <w:szCs w:val="32"/>
          <w:highlight w:val="none"/>
          <w:lang w:val="en-US" w:eastAsia="zh-CN"/>
        </w:rPr>
      </w:pPr>
      <w:r>
        <w:rPr>
          <w:rFonts w:hint="eastAsia" w:ascii="Times New Roman" w:hAnsi="Times New Roman" w:eastAsia="仿宋_GB2312"/>
          <w:sz w:val="32"/>
          <w:szCs w:val="32"/>
          <w:highlight w:val="none"/>
        </w:rPr>
        <w:t>年初预算为</w:t>
      </w:r>
      <w:r>
        <w:rPr>
          <w:rFonts w:hint="eastAsia" w:ascii="Times New Roman" w:hAnsi="Times New Roman" w:eastAsia="仿宋_GB2312"/>
          <w:sz w:val="32"/>
          <w:szCs w:val="32"/>
          <w:highlight w:val="none"/>
          <w:lang w:val="en-US" w:eastAsia="zh-CN"/>
        </w:rPr>
        <w:t>23.23</w:t>
      </w:r>
      <w:r>
        <w:rPr>
          <w:rFonts w:hint="eastAsia" w:ascii="Times New Roman" w:hAnsi="Times New Roman" w:eastAsia="仿宋_GB2312"/>
          <w:sz w:val="32"/>
          <w:szCs w:val="32"/>
          <w:highlight w:val="none"/>
        </w:rPr>
        <w:t>万元，支出决算为</w:t>
      </w:r>
      <w:r>
        <w:rPr>
          <w:rFonts w:hint="eastAsia" w:ascii="Times New Roman" w:hAnsi="Times New Roman" w:eastAsia="仿宋_GB2312"/>
          <w:sz w:val="32"/>
          <w:szCs w:val="32"/>
          <w:highlight w:val="none"/>
          <w:lang w:val="en-US" w:eastAsia="zh-CN"/>
        </w:rPr>
        <w:t>23.23</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完成年初预算的</w:t>
      </w:r>
      <w:r>
        <w:rPr>
          <w:rFonts w:hint="eastAsia" w:ascii="Times New Roman" w:hAnsi="Times New Roman" w:eastAsia="仿宋_GB2312"/>
          <w:sz w:val="32"/>
          <w:szCs w:val="32"/>
          <w:highlight w:val="none"/>
          <w:lang w:val="en-US" w:eastAsia="zh-CN"/>
        </w:rPr>
        <w:t>100%，</w:t>
      </w:r>
      <w:r>
        <w:rPr>
          <w:rFonts w:hint="eastAsia" w:ascii="Times New Roman" w:hAnsi="Times New Roman" w:eastAsia="仿宋_GB2312"/>
          <w:sz w:val="32"/>
          <w:szCs w:val="32"/>
          <w:highlight w:val="none"/>
        </w:rPr>
        <w:t>决算数</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于年初预</w:t>
      </w:r>
      <w:r>
        <w:rPr>
          <w:rFonts w:hint="eastAsia" w:ascii="Times New Roman" w:hAnsi="Times New Roman" w:eastAsia="仿宋_GB2312"/>
          <w:color w:val="auto"/>
          <w:sz w:val="32"/>
          <w:szCs w:val="32"/>
          <w:highlight w:val="none"/>
        </w:rPr>
        <w:t>算数</w:t>
      </w:r>
      <w:r>
        <w:rPr>
          <w:rFonts w:hint="eastAsia" w:ascii="Times New Roman" w:hAnsi="Times New Roman" w:eastAsia="仿宋_GB2312"/>
          <w:color w:val="auto"/>
          <w:sz w:val="32"/>
          <w:szCs w:val="32"/>
          <w:highlight w:val="none"/>
          <w:lang w:eastAsia="zh-CN"/>
        </w:rPr>
        <w:t>。</w:t>
      </w:r>
    </w:p>
    <w:p w14:paraId="373E8BA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highlight w:val="none"/>
        </w:rPr>
        <w:t>六、一般公共预算财政拨款基本支出决</w:t>
      </w:r>
      <w:r>
        <w:rPr>
          <w:rFonts w:hint="eastAsia" w:ascii="黑体" w:hAnsi="黑体" w:eastAsia="黑体" w:cs="黑体"/>
          <w:b w:val="0"/>
          <w:bCs/>
          <w:sz w:val="32"/>
          <w:szCs w:val="32"/>
        </w:rPr>
        <w:t>算情况说明</w:t>
      </w:r>
    </w:p>
    <w:p w14:paraId="293AEB6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一般公共预算</w:t>
      </w:r>
      <w:r>
        <w:rPr>
          <w:rFonts w:hint="eastAsia" w:ascii="仿宋_GB2312" w:hAnsi="仿宋_GB2312" w:eastAsia="仿宋_GB2312" w:cs="仿宋_GB2312"/>
          <w:sz w:val="32"/>
          <w:szCs w:val="32"/>
        </w:rPr>
        <w:t>财政拨款基本支出</w:t>
      </w:r>
      <w:r>
        <w:rPr>
          <w:rFonts w:hint="eastAsia" w:ascii="仿宋_GB2312" w:hAnsi="仿宋_GB2312" w:eastAsia="仿宋_GB2312" w:cs="仿宋_GB2312"/>
          <w:sz w:val="32"/>
          <w:szCs w:val="32"/>
          <w:lang w:val="en-US" w:eastAsia="zh-CN"/>
        </w:rPr>
        <w:t>306.29</w:t>
      </w:r>
      <w:r>
        <w:rPr>
          <w:rFonts w:hint="eastAsia" w:ascii="仿宋_GB2312" w:hAnsi="仿宋_GB2312" w:eastAsia="仿宋_GB2312" w:cs="仿宋_GB2312"/>
          <w:sz w:val="32"/>
          <w:szCs w:val="32"/>
        </w:rPr>
        <w:t>万元，其中：</w:t>
      </w:r>
    </w:p>
    <w:p w14:paraId="1BDD9D69">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人员经费</w:t>
      </w:r>
      <w:r>
        <w:rPr>
          <w:rFonts w:hint="eastAsia" w:ascii="仿宋_GB2312" w:hAnsi="仿宋_GB2312" w:eastAsia="仿宋_GB2312" w:cs="仿宋_GB2312"/>
          <w:sz w:val="32"/>
          <w:szCs w:val="32"/>
          <w:lang w:val="en-US" w:eastAsia="zh-CN"/>
        </w:rPr>
        <w:t>299.69</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97.84</w:t>
      </w:r>
      <w:r>
        <w:rPr>
          <w:rFonts w:hint="eastAsia" w:ascii="仿宋_GB2312" w:hAnsi="仿宋_GB2312" w:eastAsia="仿宋_GB2312" w:cs="仿宋_GB2312"/>
          <w:sz w:val="32"/>
          <w:szCs w:val="32"/>
        </w:rPr>
        <w:t>%,主要</w:t>
      </w:r>
      <w:r>
        <w:rPr>
          <w:rFonts w:hint="eastAsia" w:ascii="Times New Roman" w:hAnsi="Times New Roman" w:eastAsia="仿宋_GB2312"/>
          <w:color w:val="auto"/>
          <w:sz w:val="32"/>
          <w:szCs w:val="32"/>
          <w:highlight w:val="none"/>
        </w:rPr>
        <w:t>包括</w:t>
      </w:r>
      <w:r>
        <w:rPr>
          <w:rFonts w:hint="eastAsia" w:ascii="Times New Roman" w:hAnsi="Times New Roman" w:eastAsia="仿宋_GB2312"/>
          <w:color w:val="auto"/>
          <w:sz w:val="32"/>
          <w:szCs w:val="32"/>
        </w:rPr>
        <w:t>基本工资津贴补贴、奖金、伙食补助费、绩效工资、五险一金、抚恤金、其他工资福利支出、生活补助等;</w:t>
      </w:r>
    </w:p>
    <w:p w14:paraId="48A9DFBB">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公用经费</w:t>
      </w:r>
      <w:r>
        <w:rPr>
          <w:rFonts w:hint="eastAsia" w:ascii="仿宋_GB2312" w:hAnsi="仿宋_GB2312" w:eastAsia="仿宋_GB2312" w:cs="仿宋_GB2312"/>
          <w:sz w:val="32"/>
          <w:szCs w:val="32"/>
          <w:lang w:val="en-US" w:eastAsia="zh-CN"/>
        </w:rPr>
        <w:t>6.6</w:t>
      </w:r>
      <w:r>
        <w:rPr>
          <w:rFonts w:hint="eastAsia" w:ascii="仿宋_GB2312" w:hAnsi="仿宋_GB2312" w:eastAsia="仿宋_GB2312" w:cs="仿宋_GB2312"/>
          <w:sz w:val="32"/>
          <w:szCs w:val="32"/>
        </w:rPr>
        <w:t>万元，占基本支出的</w:t>
      </w:r>
      <w:r>
        <w:rPr>
          <w:rFonts w:hint="eastAsia" w:ascii="仿宋_GB2312" w:hAnsi="仿宋_GB2312" w:eastAsia="仿宋_GB2312" w:cs="仿宋_GB2312"/>
          <w:sz w:val="32"/>
          <w:szCs w:val="32"/>
          <w:lang w:val="en-US" w:eastAsia="zh-CN"/>
        </w:rPr>
        <w:t>2.15</w:t>
      </w:r>
      <w:r>
        <w:rPr>
          <w:rFonts w:hint="eastAsia" w:ascii="仿宋_GB2312" w:hAnsi="仿宋_GB2312" w:eastAsia="仿宋_GB2312" w:cs="仿宋_GB2312"/>
          <w:sz w:val="32"/>
          <w:szCs w:val="32"/>
        </w:rPr>
        <w:t>%，主要</w:t>
      </w:r>
      <w:r>
        <w:rPr>
          <w:rFonts w:hint="eastAsia" w:ascii="Times New Roman" w:hAnsi="Times New Roman" w:eastAsia="仿宋_GB2312"/>
          <w:sz w:val="32"/>
          <w:szCs w:val="32"/>
          <w:highlight w:val="none"/>
        </w:rPr>
        <w:t>包括</w:t>
      </w:r>
      <w:r>
        <w:rPr>
          <w:rFonts w:hint="eastAsia" w:ascii="Times New Roman" w:hAnsi="Times New Roman" w:eastAsia="仿宋_GB2312"/>
          <w:sz w:val="32"/>
          <w:szCs w:val="32"/>
        </w:rPr>
        <w:t>办公费、印刷费、咨询费、手续费</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水费、电费、维修费、培训费、劳务费、会议费、公务接待费、差旅费、工会经费等。</w:t>
      </w:r>
    </w:p>
    <w:p w14:paraId="238B276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14:paraId="7B96C244">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14:paraId="28BDC771">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14:paraId="64D19482">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highlight w:val="none"/>
          <w:lang w:val="en-US" w:eastAsia="zh-CN" w:bidi="ar-SA"/>
        </w:rPr>
        <w:t>2024年度国有资本经营预算财政拨款收入0万元；年初结转和结余0万；支出0万元，</w:t>
      </w:r>
      <w:r>
        <w:rPr>
          <w:rFonts w:hint="eastAsia" w:ascii="仿宋_GB2312" w:hAnsi="仿宋_GB2312" w:eastAsia="仿宋_GB2312" w:cs="仿宋_GB2312"/>
          <w:i w:val="0"/>
          <w:iCs/>
          <w:color w:val="000000" w:themeColor="text1"/>
          <w:kern w:val="0"/>
          <w:sz w:val="32"/>
          <w:szCs w:val="32"/>
          <w:highlight w:val="none"/>
          <w:lang w:val="en-US" w:eastAsia="zh-CN" w:bidi="ar-SA"/>
          <w14:textFill>
            <w14:solidFill>
              <w14:schemeClr w14:val="tx1"/>
            </w14:solidFill>
          </w14:textFill>
        </w:rPr>
        <w:t>其中：基本支出0万元，项目支出0万元</w:t>
      </w:r>
      <w:r>
        <w:rPr>
          <w:rFonts w:hint="eastAsia" w:ascii="仿宋_GB2312" w:hAnsi="仿宋_GB2312" w:eastAsia="仿宋_GB2312" w:cs="仿宋_GB2312"/>
          <w:color w:val="000000"/>
          <w:kern w:val="0"/>
          <w:sz w:val="32"/>
          <w:szCs w:val="32"/>
          <w:highlight w:val="none"/>
          <w:lang w:val="en-US" w:eastAsia="zh-CN" w:bidi="ar-SA"/>
        </w:rPr>
        <w:t>；年末结转和结余0万元。</w:t>
      </w:r>
    </w:p>
    <w:p w14:paraId="5876C25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14:paraId="6298EF1D">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经费财政拨款支出决算总体情况说明</w:t>
      </w:r>
    </w:p>
    <w:p w14:paraId="424CE3E9">
      <w:pPr>
        <w:pStyle w:val="13"/>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eastAsia="zh-CN"/>
        </w:rPr>
        <w:t>0</w:t>
      </w:r>
      <w:r>
        <w:rPr>
          <w:rFonts w:ascii="Times New Roman" w:hAnsi="Times New Roman" w:eastAsia="仿宋_GB2312" w:cs="Times New Roman"/>
          <w:sz w:val="32"/>
          <w:szCs w:val="32"/>
        </w:rPr>
        <w:t>%。</w:t>
      </w:r>
    </w:p>
    <w:p w14:paraId="352D03A7">
      <w:pPr>
        <w:pStyle w:val="13"/>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w:t>
      </w:r>
      <w:r>
        <w:rPr>
          <w:rFonts w:hint="eastAsia" w:ascii="Times New Roman" w:hAnsi="Times New Roman" w:eastAsia="楷体_GB2312" w:cs="Times New Roman"/>
          <w:b/>
          <w:sz w:val="32"/>
          <w:szCs w:val="32"/>
          <w:lang w:eastAsia="zh-CN"/>
        </w:rPr>
        <w:t>“三公”</w:t>
      </w:r>
      <w:r>
        <w:rPr>
          <w:rFonts w:ascii="Times New Roman" w:hAnsi="Times New Roman" w:eastAsia="楷体_GB2312" w:cs="Times New Roman"/>
          <w:b/>
          <w:sz w:val="32"/>
          <w:szCs w:val="32"/>
        </w:rPr>
        <w:t>经费财政拨款支出决算具体情况说明</w:t>
      </w:r>
    </w:p>
    <w:p w14:paraId="5FF0A721">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hint="eastAsia" w:ascii="Times New Roman" w:hAnsi="Times New Roman" w:eastAsia="仿宋_GB2312" w:cs="Times New Roman"/>
          <w:color w:val="auto"/>
          <w:sz w:val="32"/>
          <w:szCs w:val="32"/>
          <w:lang w:val="en-US" w:eastAsia="zh-CN"/>
        </w:rPr>
        <w:t>，主要原因是我单位严格按预算执行决算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与上年一致，无增减变动，主要原因是未安排因公出国（境）活动。</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15F9FEE">
      <w:pPr>
        <w:pStyle w:val="13"/>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w:t>
      </w:r>
      <w:r>
        <w:rPr>
          <w:rFonts w:ascii="Times New Roman" w:hAnsi="Times New Roman" w:eastAsia="仿宋_GB2312" w:cs="Times New Roman"/>
          <w:color w:val="auto"/>
          <w:sz w:val="32"/>
          <w:szCs w:val="32"/>
        </w:rPr>
        <w:t>。其中：</w:t>
      </w:r>
    </w:p>
    <w:p w14:paraId="6BD50064">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决算数等于预算数，主要原因是我单位严格按预算执行决算</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与上年一致，无增减变动，主要原因是两年均未购置公务用车。本单位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r>
        <w:rPr>
          <w:rFonts w:hint="eastAsia" w:ascii="Times New Roman" w:hAnsi="Times New Roman" w:eastAsia="仿宋_GB2312" w:cs="Times New Roman"/>
          <w:color w:val="auto"/>
          <w:sz w:val="32"/>
          <w:szCs w:val="32"/>
          <w:lang w:eastAsia="zh-CN"/>
        </w:rPr>
        <w:t>。</w:t>
      </w:r>
    </w:p>
    <w:p w14:paraId="2BC7ACD6">
      <w:pPr>
        <w:pStyle w:val="13"/>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w:t>
      </w:r>
      <w:r>
        <w:rPr>
          <w:rFonts w:ascii="Times New Roman" w:hAnsi="Times New Roman" w:eastAsia="仿宋_GB2312" w:cs="Times New Roman"/>
          <w:color w:val="auto"/>
          <w:sz w:val="32"/>
          <w:szCs w:val="32"/>
        </w:rPr>
        <w:t>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 xml:space="preserve">决算数等于预算数，主要原因是我单位严格按预算执行决算；与上年一致，无增减变动，主要原因是两年均无公务用车需要运行维护。 </w:t>
      </w:r>
      <w:r>
        <w:rPr>
          <w:rFonts w:ascii="Times New Roman" w:hAnsi="Times New Roman" w:eastAsia="仿宋_GB2312" w:cs="Times New Roman"/>
          <w:color w:val="auto"/>
          <w:sz w:val="32"/>
          <w:szCs w:val="32"/>
        </w:rPr>
        <w:t>截止</w:t>
      </w:r>
      <w:r>
        <w:rPr>
          <w:rFonts w:hint="eastAsia" w:ascii="Times New Roman" w:hAnsi="Times New Roman" w:eastAsia="仿宋_GB2312" w:cs="Times New Roman"/>
          <w:color w:val="auto"/>
          <w:sz w:val="32"/>
          <w:szCs w:val="32"/>
          <w:lang w:eastAsia="zh-CN"/>
        </w:rPr>
        <w:t>到</w:t>
      </w:r>
      <w:r>
        <w:rPr>
          <w:rFonts w:ascii="Times New Roman" w:hAnsi="Times New Roman" w:eastAsia="仿宋_GB2312" w:cs="Times New Roman"/>
          <w:color w:val="auto"/>
          <w:sz w:val="32"/>
          <w:szCs w:val="32"/>
        </w:rPr>
        <w:t>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4D41F27C">
      <w:pPr>
        <w:pStyle w:val="13"/>
        <w:overflowPunct w:val="0"/>
        <w:autoSpaceDE/>
        <w:autoSpaceDN/>
        <w:spacing w:line="600" w:lineRule="exact"/>
        <w:ind w:firstLine="640" w:firstLineChars="200"/>
        <w:jc w:val="both"/>
        <w:rPr>
          <w:rFonts w:hint="eastAsia" w:ascii="Times New Roman" w:hAnsi="Times New Roman" w:eastAsia="仿宋_GB2312"/>
          <w:b/>
          <w:color w:val="auto"/>
          <w:sz w:val="32"/>
          <w:szCs w:val="32"/>
          <w:lang w:eastAsia="zh-CN"/>
        </w:rPr>
      </w:pP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公务接待费支出预算为</w:t>
      </w:r>
      <w:r>
        <w:rPr>
          <w:rFonts w:hint="eastAsia" w:ascii="Times New Roman" w:hAnsi="Times New Roman" w:eastAsia="仿宋_GB2312" w:cs="Times New Roman"/>
          <w:color w:val="auto"/>
          <w:sz w:val="32"/>
          <w:szCs w:val="32"/>
          <w:lang w:val="en-US" w:eastAsia="zh-CN"/>
        </w:rPr>
        <w:t xml:space="preserve"> 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val="en-US" w:eastAsia="zh-CN"/>
        </w:rPr>
        <w:t>决算数等于预算数，主要原因是严格执行中央八项规定；与上年一致，无增减变动，主要原因是按有关政策厉行节约，严控公务接待支出。</w:t>
      </w:r>
      <w:r>
        <w:rPr>
          <w:rFonts w:ascii="Times New Roman" w:hAnsi="Times New Roman" w:eastAsia="仿宋_GB2312" w:cs="Times New Roman"/>
          <w:color w:val="auto"/>
          <w:sz w:val="32"/>
          <w:szCs w:val="32"/>
        </w:rPr>
        <w:t>2024年度共接待来访团组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个、来宾</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3D06ACE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56A3E521">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本级和所属单位均为事业单位，按照机关运行经费的口径，本年度机关运行经费为0。</w:t>
      </w:r>
    </w:p>
    <w:p w14:paraId="39684EF2">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14:paraId="41AAF9B7">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highlight w:val="none"/>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年度，本单位无会议费的预算和支出决算数；本单位无培训费的预算和支出决算数；本单位无举办节庆、晚会、论坛、赛事等活动的预算和支出决算数。</w:t>
      </w:r>
    </w:p>
    <w:p w14:paraId="252D0BEE">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14:paraId="087F52B8">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i/>
          <w:color w:val="FF0000"/>
          <w:sz w:val="32"/>
          <w:szCs w:val="32"/>
          <w:lang w:val="en-US" w:eastAsia="zh-CN"/>
        </w:rPr>
      </w:pPr>
      <w:r>
        <w:rPr>
          <w:rFonts w:hint="eastAsia" w:ascii="仿宋_GB2312" w:hAnsi="仿宋_GB2312" w:eastAsia="仿宋_GB2312" w:cs="仿宋_GB2312"/>
          <w:color w:val="auto"/>
          <w:kern w:val="2"/>
          <w:sz w:val="32"/>
          <w:szCs w:val="32"/>
          <w:lang w:val="en-US" w:eastAsia="zh-CN" w:bidi="ar-SA"/>
        </w:rPr>
        <w:t>本部门2024年度政府采购支出总额0万元，其中：政府采购货物支出0万元、政府采购工程支出0万元、政府采购服务支出0万元。授予中小企业合同金额0万元（由于政府采购支出总额为0，故无法计算占政府采购支出总额的比重），其中：授予小微企业合同金额0万元（由于授予中小企业合同金额为0，故无法计算占授予中小企业合同金额的比重）。货物采购授予中小企业合同金额占货物支出金额的比重，工程采购授予中小企业合同金额占工程支出金额的比重，服务采购授予中小企业合同金额占服务支出金额的比重，由于以上各项合同金额为0，故无法计算各项占比。</w:t>
      </w:r>
    </w:p>
    <w:p w14:paraId="246A0DF6">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6800A37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_GB2312" w:hAnsi="仿宋_GB2312" w:eastAsia="仿宋_GB2312" w:cs="仿宋_GB2312"/>
          <w:i w:val="0"/>
          <w:iCs/>
          <w:color w:val="auto"/>
          <w:sz w:val="32"/>
          <w:szCs w:val="32"/>
          <w:lang w:val="en-US" w:eastAsia="zh-CN"/>
        </w:rPr>
      </w:pPr>
      <w:bookmarkStart w:id="4" w:name="_GoBack"/>
      <w:bookmarkEnd w:id="4"/>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年12月31日，本单位共有车辆</w:t>
      </w:r>
      <w:r>
        <w:rPr>
          <w:rFonts w:ascii="Times New Roman" w:hAnsi="Times New Roman" w:eastAsia="仿宋_GB2312"/>
          <w:sz w:val="32"/>
          <w:szCs w:val="32"/>
        </w:rPr>
        <w:t>0</w:t>
      </w:r>
      <w:r>
        <w:rPr>
          <w:rFonts w:hint="eastAsia" w:ascii="Times New Roman" w:hAnsi="Times New Roman" w:eastAsia="仿宋_GB2312"/>
          <w:sz w:val="32"/>
          <w:szCs w:val="32"/>
        </w:rPr>
        <w:t>辆，其中，主要领导干部用车</w:t>
      </w:r>
      <w:r>
        <w:rPr>
          <w:rFonts w:ascii="Times New Roman" w:hAnsi="Times New Roman" w:eastAsia="仿宋_GB2312"/>
          <w:sz w:val="32"/>
          <w:szCs w:val="32"/>
        </w:rPr>
        <w:t>0</w:t>
      </w:r>
      <w:r>
        <w:rPr>
          <w:rFonts w:hint="eastAsia" w:ascii="Times New Roman" w:hAnsi="Times New Roman" w:eastAsia="仿宋_GB2312"/>
          <w:sz w:val="32"/>
          <w:szCs w:val="32"/>
        </w:rPr>
        <w:t>辆，机要通信用车</w:t>
      </w:r>
      <w:r>
        <w:rPr>
          <w:rFonts w:ascii="Times New Roman" w:hAnsi="Times New Roman" w:eastAsia="仿宋_GB2312"/>
          <w:sz w:val="32"/>
          <w:szCs w:val="32"/>
        </w:rPr>
        <w:t>0</w:t>
      </w:r>
      <w:r>
        <w:rPr>
          <w:rFonts w:hint="eastAsia" w:ascii="Times New Roman" w:hAnsi="Times New Roman" w:eastAsia="仿宋_GB2312"/>
          <w:sz w:val="32"/>
          <w:szCs w:val="32"/>
        </w:rPr>
        <w:t>辆、应急保障用车</w:t>
      </w:r>
      <w:r>
        <w:rPr>
          <w:rFonts w:ascii="Times New Roman" w:hAnsi="Times New Roman" w:eastAsia="仿宋_GB2312"/>
          <w:sz w:val="32"/>
          <w:szCs w:val="32"/>
        </w:rPr>
        <w:t>0</w:t>
      </w:r>
      <w:r>
        <w:rPr>
          <w:rFonts w:hint="eastAsia" w:ascii="Times New Roman" w:hAnsi="Times New Roman" w:eastAsia="仿宋_GB2312"/>
          <w:sz w:val="32"/>
          <w:szCs w:val="32"/>
        </w:rPr>
        <w:t>辆、执法执勤用车</w:t>
      </w:r>
      <w:r>
        <w:rPr>
          <w:rFonts w:ascii="Times New Roman" w:hAnsi="Times New Roman" w:eastAsia="仿宋_GB2312"/>
          <w:sz w:val="32"/>
          <w:szCs w:val="32"/>
        </w:rPr>
        <w:t>0</w:t>
      </w:r>
      <w:r>
        <w:rPr>
          <w:rFonts w:hint="eastAsia" w:ascii="Times New Roman" w:hAnsi="Times New Roman" w:eastAsia="仿宋_GB2312"/>
          <w:sz w:val="32"/>
          <w:szCs w:val="32"/>
        </w:rPr>
        <w:t>辆、特种专业技术用车</w:t>
      </w:r>
      <w:r>
        <w:rPr>
          <w:rFonts w:ascii="Times New Roman" w:hAnsi="Times New Roman" w:eastAsia="仿宋_GB2312"/>
          <w:sz w:val="32"/>
          <w:szCs w:val="32"/>
        </w:rPr>
        <w:t>0</w:t>
      </w:r>
      <w:r>
        <w:rPr>
          <w:rFonts w:hint="eastAsia" w:ascii="Times New Roman" w:hAnsi="Times New Roman" w:eastAsia="仿宋_GB2312"/>
          <w:sz w:val="32"/>
          <w:szCs w:val="32"/>
        </w:rPr>
        <w:t>辆、其他用车</w:t>
      </w:r>
      <w:r>
        <w:rPr>
          <w:rFonts w:ascii="Times New Roman" w:hAnsi="Times New Roman" w:eastAsia="仿宋_GB2312"/>
          <w:sz w:val="32"/>
          <w:szCs w:val="32"/>
        </w:rPr>
        <w:t>0</w:t>
      </w:r>
      <w:r>
        <w:rPr>
          <w:rFonts w:hint="eastAsia" w:ascii="Times New Roman" w:hAnsi="Times New Roman" w:eastAsia="仿宋_GB2312"/>
          <w:sz w:val="32"/>
          <w:szCs w:val="32"/>
        </w:rPr>
        <w:t>辆；单位价值50万元以上通用设备</w:t>
      </w:r>
      <w:r>
        <w:rPr>
          <w:rFonts w:ascii="Times New Roman" w:hAnsi="Times New Roman" w:eastAsia="仿宋_GB2312"/>
          <w:sz w:val="32"/>
          <w:szCs w:val="32"/>
        </w:rPr>
        <w:t>0</w:t>
      </w:r>
      <w:r>
        <w:rPr>
          <w:rFonts w:hint="eastAsia" w:ascii="Times New Roman" w:hAnsi="Times New Roman" w:eastAsia="仿宋_GB2312"/>
          <w:sz w:val="32"/>
          <w:szCs w:val="32"/>
        </w:rPr>
        <w:t>台（套）；单位价值100万元以上专用设备</w:t>
      </w:r>
      <w:r>
        <w:rPr>
          <w:rFonts w:ascii="Times New Roman" w:hAnsi="Times New Roman" w:eastAsia="仿宋_GB2312"/>
          <w:sz w:val="32"/>
          <w:szCs w:val="32"/>
        </w:rPr>
        <w:t>0</w:t>
      </w:r>
      <w:r>
        <w:rPr>
          <w:rFonts w:hint="eastAsia" w:ascii="Times New Roman" w:hAnsi="Times New Roman" w:eastAsia="仿宋_GB2312"/>
          <w:sz w:val="32"/>
          <w:szCs w:val="32"/>
        </w:rPr>
        <w:t>台（套）</w:t>
      </w:r>
      <w:r>
        <w:rPr>
          <w:rFonts w:hint="eastAsia" w:ascii="Times New Roman" w:hAnsi="Times New Roman" w:eastAsia="仿宋_GB2312"/>
          <w:sz w:val="32"/>
          <w:szCs w:val="32"/>
          <w:lang w:eastAsia="zh-CN"/>
        </w:rPr>
        <w:t>。</w:t>
      </w:r>
    </w:p>
    <w:p w14:paraId="0A8224AC">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十</w:t>
      </w:r>
      <w:r>
        <w:rPr>
          <w:rFonts w:hint="eastAsia" w:hAnsi="黑体" w:cs="黑体"/>
          <w:b w:val="0"/>
          <w:bCs/>
          <w:color w:val="auto"/>
          <w:sz w:val="32"/>
          <w:szCs w:val="32"/>
          <w:highlight w:val="none"/>
          <w:lang w:eastAsia="zh-CN"/>
        </w:rPr>
        <w:t>四</w:t>
      </w:r>
      <w:r>
        <w:rPr>
          <w:rFonts w:hint="eastAsia" w:ascii="黑体" w:hAnsi="黑体" w:eastAsia="黑体" w:cs="黑体"/>
          <w:b w:val="0"/>
          <w:bCs/>
          <w:color w:val="auto"/>
          <w:sz w:val="32"/>
          <w:szCs w:val="32"/>
          <w:highlight w:val="none"/>
        </w:rPr>
        <w:t>、关于</w:t>
      </w:r>
      <w:r>
        <w:rPr>
          <w:rFonts w:hint="eastAsia" w:ascii="Times New Roman" w:hAnsi="Times New Roman" w:eastAsia="仿宋_GB2312"/>
          <w:color w:val="auto"/>
          <w:sz w:val="32"/>
          <w:szCs w:val="32"/>
          <w:highlight w:val="none"/>
        </w:rPr>
        <w:t>202</w:t>
      </w:r>
      <w:r>
        <w:rPr>
          <w:rFonts w:hint="eastAsia" w:ascii="Times New Roman" w:hAnsi="Times New Roman" w:eastAsia="仿宋_GB2312"/>
          <w:color w:val="auto"/>
          <w:sz w:val="32"/>
          <w:szCs w:val="32"/>
          <w:highlight w:val="none"/>
          <w:lang w:val="en-US" w:eastAsia="zh-CN"/>
        </w:rPr>
        <w:t>4</w:t>
      </w:r>
      <w:r>
        <w:rPr>
          <w:rFonts w:hint="eastAsia" w:ascii="黑体" w:hAnsi="黑体" w:eastAsia="黑体" w:cs="黑体"/>
          <w:b w:val="0"/>
          <w:bCs/>
          <w:color w:val="auto"/>
          <w:sz w:val="32"/>
          <w:szCs w:val="32"/>
          <w:highlight w:val="none"/>
        </w:rPr>
        <w:t>年度</w:t>
      </w:r>
      <w:r>
        <w:rPr>
          <w:rFonts w:hint="eastAsia" w:hAnsi="黑体" w:cs="黑体"/>
          <w:b w:val="0"/>
          <w:bCs/>
          <w:color w:val="auto"/>
          <w:sz w:val="32"/>
          <w:szCs w:val="32"/>
          <w:highlight w:val="none"/>
          <w:lang w:eastAsia="zh-CN"/>
        </w:rPr>
        <w:t>预算</w:t>
      </w:r>
      <w:r>
        <w:rPr>
          <w:rFonts w:hint="eastAsia" w:ascii="黑体" w:hAnsi="黑体" w:eastAsia="黑体" w:cs="黑体"/>
          <w:b w:val="0"/>
          <w:bCs/>
          <w:color w:val="auto"/>
          <w:sz w:val="32"/>
          <w:szCs w:val="32"/>
          <w:highlight w:val="none"/>
        </w:rPr>
        <w:t>绩效</w:t>
      </w:r>
      <w:r>
        <w:rPr>
          <w:rFonts w:hint="eastAsia" w:hAnsi="黑体" w:cs="黑体"/>
          <w:b w:val="0"/>
          <w:bCs/>
          <w:color w:val="auto"/>
          <w:sz w:val="32"/>
          <w:szCs w:val="32"/>
          <w:highlight w:val="none"/>
          <w:lang w:eastAsia="zh-CN"/>
        </w:rPr>
        <w:t>管理</w:t>
      </w:r>
      <w:r>
        <w:rPr>
          <w:rFonts w:hint="eastAsia" w:ascii="黑体" w:hAnsi="黑体" w:eastAsia="黑体" w:cs="黑体"/>
          <w:b w:val="0"/>
          <w:bCs/>
          <w:color w:val="auto"/>
          <w:sz w:val="32"/>
          <w:szCs w:val="32"/>
          <w:highlight w:val="none"/>
        </w:rPr>
        <w:t>情况的说明</w:t>
      </w:r>
    </w:p>
    <w:p w14:paraId="6CBE99A0">
      <w:pPr>
        <w:overflowPunct w:val="0"/>
        <w:spacing w:line="600" w:lineRule="exact"/>
        <w:ind w:firstLine="640" w:firstLineChars="200"/>
        <w:rPr>
          <w:rFonts w:hint="eastAsia" w:ascii="楷体" w:hAnsi="楷体" w:eastAsia="楷体" w:cs="楷体"/>
          <w:b/>
          <w:bCs/>
          <w:sz w:val="32"/>
          <w:szCs w:val="32"/>
        </w:rPr>
      </w:pPr>
      <w:r>
        <w:rPr>
          <w:rFonts w:ascii="Times New Roman" w:hAnsi="Times New Roman" w:eastAsia="楷体_GB2312" w:cs="Times New Roman"/>
          <w:b/>
          <w:bCs/>
          <w:sz w:val="32"/>
          <w:szCs w:val="32"/>
        </w:rPr>
        <w:t>（一）绩效评价工作开展情况</w:t>
      </w:r>
    </w:p>
    <w:p w14:paraId="454CF8E4">
      <w:pPr>
        <w:autoSpaceDN w:val="0"/>
        <w:spacing w:line="360" w:lineRule="auto"/>
        <w:ind w:firstLine="800" w:firstLineChars="250"/>
        <w:textAlignment w:val="center"/>
        <w:rPr>
          <w:rFonts w:ascii="宋体" w:cs="仿宋_GB2312"/>
          <w:color w:val="000000"/>
          <w:sz w:val="32"/>
          <w:szCs w:val="32"/>
        </w:rPr>
      </w:pPr>
      <w:r>
        <w:rPr>
          <w:rFonts w:ascii="宋体" w:hAnsi="宋体" w:cs="仿宋_GB2312"/>
          <w:color w:val="000000"/>
          <w:sz w:val="32"/>
          <w:szCs w:val="32"/>
        </w:rPr>
        <w:t>1</w:t>
      </w:r>
      <w:r>
        <w:rPr>
          <w:rFonts w:hint="eastAsia" w:ascii="宋体" w:hAnsi="宋体" w:cs="仿宋_GB2312"/>
          <w:color w:val="000000"/>
          <w:sz w:val="32"/>
          <w:szCs w:val="32"/>
        </w:rPr>
        <w:t>、预算绩效评估：</w:t>
      </w:r>
      <w:r>
        <w:rPr>
          <w:rFonts w:ascii="宋体" w:hAnsi="宋体" w:cs="仿宋_GB2312"/>
          <w:color w:val="000000"/>
          <w:sz w:val="32"/>
          <w:szCs w:val="32"/>
        </w:rPr>
        <w:t>202</w:t>
      </w:r>
      <w:r>
        <w:rPr>
          <w:rFonts w:hint="eastAsia" w:ascii="宋体" w:hAnsi="宋体" w:cs="仿宋_GB2312"/>
          <w:color w:val="000000"/>
          <w:sz w:val="32"/>
          <w:szCs w:val="32"/>
          <w:lang w:val="en-US" w:eastAsia="zh-CN"/>
        </w:rPr>
        <w:t>4</w:t>
      </w:r>
      <w:r>
        <w:rPr>
          <w:rFonts w:hint="eastAsia" w:ascii="宋体" w:hAnsi="宋体" w:cs="仿宋_GB2312"/>
          <w:color w:val="000000"/>
          <w:sz w:val="32"/>
          <w:szCs w:val="32"/>
        </w:rPr>
        <w:t>年度我校努力做好财政预算收入、支出以及各项目的管理工作，将预算及时公开到相关的信息网络平台，对预算的资金进行全方位的监督和管理，使每一笔资金都能起到最大的使用效益。结合我校实际将支出进行合理化分配，以达到合理高效地运用资金、提升资金的产出效果、节约成本与资源、提高部门的办事效率的目的。在部门预算整体支出绩效方面都按照规定严格执行，合理安排支出，使财政资金发挥出最大的效益。</w:t>
      </w:r>
    </w:p>
    <w:p w14:paraId="415336F7">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14:paraId="54CDCFCE">
      <w:pPr>
        <w:autoSpaceDN w:val="0"/>
        <w:spacing w:line="360" w:lineRule="auto"/>
        <w:ind w:firstLine="640" w:firstLineChars="200"/>
        <w:textAlignment w:val="center"/>
        <w:rPr>
          <w:rFonts w:ascii="宋体" w:cs="仿宋_GB2312"/>
          <w:color w:val="000000"/>
          <w:sz w:val="32"/>
          <w:szCs w:val="32"/>
        </w:rPr>
      </w:pPr>
      <w:r>
        <w:rPr>
          <w:rFonts w:hint="eastAsia" w:ascii="宋体" w:hAnsi="宋体" w:cs="仿宋_GB2312"/>
          <w:color w:val="000000"/>
          <w:sz w:val="32"/>
          <w:szCs w:val="32"/>
          <w:lang w:val="en-US" w:eastAsia="zh-CN"/>
        </w:rPr>
        <w:t xml:space="preserve"> 1、存</w:t>
      </w:r>
      <w:r>
        <w:rPr>
          <w:rFonts w:hint="eastAsia" w:ascii="宋体" w:hAnsi="宋体" w:cs="仿宋_GB2312"/>
          <w:color w:val="000000"/>
          <w:sz w:val="32"/>
          <w:szCs w:val="32"/>
        </w:rPr>
        <w:t>在的问题：</w:t>
      </w:r>
      <w:r>
        <w:rPr>
          <w:rFonts w:ascii="宋体" w:hAnsi="宋体" w:cs="仿宋_GB2312"/>
          <w:color w:val="000000"/>
          <w:sz w:val="32"/>
          <w:szCs w:val="32"/>
        </w:rPr>
        <w:t xml:space="preserve"> </w:t>
      </w:r>
      <w:r>
        <w:rPr>
          <w:rFonts w:hint="eastAsia" w:ascii="宋体" w:hAnsi="宋体" w:cs="仿宋_GB2312"/>
          <w:color w:val="000000"/>
          <w:sz w:val="32"/>
          <w:szCs w:val="32"/>
        </w:rPr>
        <w:t>由于全区学校财务人员没有专职设置，对财务知识学习学习培训程度不够，导致对决算编制口径理解不足。在部门预算编制、部门决算编制软件操作中存在一些困难。</w:t>
      </w:r>
    </w:p>
    <w:p w14:paraId="0E7D4179">
      <w:pPr>
        <w:autoSpaceDN w:val="0"/>
        <w:spacing w:line="360" w:lineRule="auto"/>
        <w:ind w:firstLine="640" w:firstLineChars="200"/>
        <w:textAlignment w:val="center"/>
        <w:rPr>
          <w:rFonts w:ascii="宋体" w:cs="仿宋_GB2312"/>
          <w:color w:val="000000"/>
          <w:sz w:val="32"/>
          <w:szCs w:val="32"/>
        </w:rPr>
      </w:pPr>
      <w:r>
        <w:rPr>
          <w:rFonts w:hint="eastAsia" w:ascii="宋体" w:hAnsi="宋体" w:cs="仿宋_GB2312"/>
          <w:color w:val="000000"/>
          <w:sz w:val="32"/>
          <w:szCs w:val="32"/>
          <w:lang w:val="en-US" w:eastAsia="zh-CN"/>
        </w:rPr>
        <w:t>2</w:t>
      </w:r>
      <w:r>
        <w:rPr>
          <w:rFonts w:hint="eastAsia" w:ascii="宋体" w:hAnsi="宋体" w:cs="仿宋_GB2312"/>
          <w:color w:val="000000"/>
          <w:sz w:val="32"/>
          <w:szCs w:val="32"/>
        </w:rPr>
        <w:t>、建议：加强政策学习，提高思想认识。提高单位领导及财务人员的财政政策意识，坚持先有预算、后有支付，没有预算就不得支出。年度预算编制后，根据实际情况，定期做好预算执行分析，掌握预算执行进度，及时找出预算实际执行情况与预算目标之间的差距。</w:t>
      </w:r>
    </w:p>
    <w:p w14:paraId="381A80AB">
      <w:pPr>
        <w:autoSpaceDN w:val="0"/>
        <w:spacing w:line="360" w:lineRule="auto"/>
        <w:ind w:firstLine="640" w:firstLineChars="200"/>
        <w:textAlignment w:val="center"/>
        <w:rPr>
          <w:rFonts w:hint="eastAsia" w:ascii="宋体" w:hAnsi="宋体" w:cs="仿宋_GB2312"/>
          <w:color w:val="000000"/>
          <w:sz w:val="32"/>
          <w:szCs w:val="32"/>
        </w:rPr>
      </w:pPr>
      <w:r>
        <w:rPr>
          <w:rFonts w:hint="eastAsia" w:ascii="宋体" w:hAnsi="宋体" w:cs="仿宋_GB2312"/>
          <w:color w:val="000000"/>
          <w:sz w:val="32"/>
          <w:szCs w:val="32"/>
          <w:lang w:val="en-US" w:eastAsia="zh-CN"/>
        </w:rPr>
        <w:t>3、</w:t>
      </w:r>
      <w:r>
        <w:rPr>
          <w:rFonts w:hint="eastAsia" w:ascii="宋体" w:hAnsi="宋体" w:cs="仿宋_GB2312"/>
          <w:color w:val="000000"/>
          <w:sz w:val="32"/>
          <w:szCs w:val="32"/>
        </w:rPr>
        <w:t>建议</w:t>
      </w:r>
      <w:r>
        <w:rPr>
          <w:rFonts w:hint="eastAsia" w:ascii="宋体" w:hAnsi="宋体" w:cs="仿宋_GB2312"/>
          <w:color w:val="000000"/>
          <w:sz w:val="32"/>
          <w:szCs w:val="32"/>
          <w:lang w:eastAsia="zh-CN"/>
        </w:rPr>
        <w:t>：</w:t>
      </w:r>
      <w:r>
        <w:rPr>
          <w:rFonts w:hint="eastAsia" w:ascii="宋体" w:hAnsi="宋体" w:cs="仿宋_GB2312"/>
          <w:color w:val="000000"/>
          <w:sz w:val="32"/>
          <w:szCs w:val="32"/>
        </w:rPr>
        <w:t>教育行政主管部门和财政部门应高度重视学校财务人员的专业技能培训，注重培训学校财务人员的实际操作能力，教育主管部门应定期组织财务培训，提升学校财务人员的财务专业技能，使学校这批财务人员（报账员），在没有配置专职人员时，虽然没有专业资质，但在实际操作中，确实能够熟练操作技能，较好的完成学校各项财务工作。</w:t>
      </w:r>
    </w:p>
    <w:p w14:paraId="09DC55EA">
      <w:pPr>
        <w:widowControl/>
        <w:jc w:val="left"/>
        <w:rPr>
          <w:rFonts w:ascii="宋体" w:cs="黑体"/>
          <w:color w:val="000000"/>
          <w:kern w:val="0"/>
          <w:sz w:val="32"/>
          <w:szCs w:val="32"/>
        </w:rPr>
      </w:pPr>
      <w:r>
        <w:rPr>
          <w:kern w:val="0"/>
          <w:sz w:val="32"/>
          <w:szCs w:val="32"/>
        </w:rPr>
        <w:t xml:space="preserve">  </w:t>
      </w:r>
    </w:p>
    <w:p w14:paraId="119F0A46">
      <w:pPr>
        <w:pStyle w:val="13"/>
        <w:jc w:val="center"/>
        <w:rPr>
          <w:sz w:val="72"/>
          <w:szCs w:val="72"/>
        </w:rPr>
      </w:pPr>
    </w:p>
    <w:p w14:paraId="5D2D08CD">
      <w:pPr>
        <w:pStyle w:val="2"/>
        <w:rPr>
          <w:rFonts w:hint="eastAsia"/>
          <w:lang w:val="en-US" w:eastAsia="zh-CN"/>
        </w:rPr>
      </w:pPr>
    </w:p>
    <w:p w14:paraId="47586AB8">
      <w:pPr>
        <w:numPr>
          <w:ilvl w:val="0"/>
          <w:numId w:val="0"/>
        </w:numPr>
        <w:autoSpaceDE w:val="0"/>
        <w:autoSpaceDN w:val="0"/>
        <w:adjustRightInd w:val="0"/>
        <w:jc w:val="left"/>
        <w:rPr>
          <w:rFonts w:hint="eastAsia" w:ascii="楷体" w:hAnsi="楷体" w:eastAsia="楷体" w:cs="楷体"/>
          <w:b/>
          <w:bCs/>
          <w:i w:val="0"/>
          <w:iCs w:val="0"/>
          <w:color w:val="FF0000"/>
          <w:kern w:val="0"/>
          <w:sz w:val="36"/>
          <w:szCs w:val="36"/>
          <w:lang w:val="en-US" w:eastAsia="zh-CN"/>
        </w:rPr>
      </w:pPr>
    </w:p>
    <w:p w14:paraId="3D83FDA1">
      <w:pPr>
        <w:pStyle w:val="13"/>
        <w:jc w:val="center"/>
        <w:rPr>
          <w:rFonts w:hint="eastAsia" w:ascii="方正小标宋_GBK" w:hAnsi="方正小标宋_GBK" w:eastAsia="方正小标宋_GBK" w:cs="方正小标宋_GBK"/>
          <w:sz w:val="72"/>
          <w:szCs w:val="72"/>
        </w:rPr>
      </w:pPr>
    </w:p>
    <w:p w14:paraId="6FB6F211">
      <w:pPr>
        <w:pStyle w:val="13"/>
        <w:jc w:val="center"/>
        <w:rPr>
          <w:rFonts w:hint="eastAsia" w:ascii="方正小标宋_GBK" w:hAnsi="方正小标宋_GBK" w:eastAsia="方正小标宋_GBK" w:cs="方正小标宋_GBK"/>
          <w:sz w:val="72"/>
          <w:szCs w:val="72"/>
        </w:rPr>
      </w:pPr>
    </w:p>
    <w:p w14:paraId="3A01B6B0">
      <w:pPr>
        <w:pStyle w:val="13"/>
        <w:jc w:val="center"/>
        <w:rPr>
          <w:rFonts w:hint="eastAsia" w:ascii="方正小标宋_GBK" w:hAnsi="方正小标宋_GBK" w:eastAsia="方正小标宋_GBK" w:cs="方正小标宋_GBK"/>
          <w:sz w:val="72"/>
          <w:szCs w:val="72"/>
        </w:rPr>
      </w:pPr>
    </w:p>
    <w:p w14:paraId="475C1000">
      <w:pPr>
        <w:pStyle w:val="13"/>
        <w:jc w:val="center"/>
        <w:rPr>
          <w:rFonts w:hint="eastAsia" w:ascii="方正小标宋_GBK" w:hAnsi="方正小标宋_GBK" w:eastAsia="方正小标宋_GBK" w:cs="方正小标宋_GBK"/>
          <w:sz w:val="72"/>
          <w:szCs w:val="72"/>
        </w:rPr>
      </w:pPr>
    </w:p>
    <w:p w14:paraId="344A8214">
      <w:pPr>
        <w:pStyle w:val="13"/>
        <w:jc w:val="center"/>
        <w:rPr>
          <w:rFonts w:hint="eastAsia" w:ascii="方正小标宋_GBK" w:hAnsi="方正小标宋_GBK" w:eastAsia="方正小标宋_GBK" w:cs="方正小标宋_GBK"/>
          <w:sz w:val="72"/>
          <w:szCs w:val="72"/>
        </w:rPr>
      </w:pPr>
    </w:p>
    <w:p w14:paraId="5A0CE126">
      <w:pPr>
        <w:pStyle w:val="13"/>
        <w:jc w:val="center"/>
        <w:rPr>
          <w:rFonts w:hint="eastAsia" w:ascii="方正小标宋_GBK" w:hAnsi="方正小标宋_GBK" w:eastAsia="方正小标宋_GBK" w:cs="方正小标宋_GBK"/>
          <w:sz w:val="72"/>
          <w:szCs w:val="72"/>
        </w:rPr>
      </w:pPr>
    </w:p>
    <w:p w14:paraId="6A5A782C">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2DDD6447">
      <w:pPr>
        <w:jc w:val="center"/>
        <w:rPr>
          <w:rFonts w:hint="eastAsia" w:ascii="方正小标宋_GBK" w:hAnsi="方正小标宋_GBK" w:eastAsia="方正小标宋_GBK" w:cs="方正小标宋_GBK"/>
          <w:color w:val="000000"/>
          <w:kern w:val="0"/>
          <w:sz w:val="70"/>
          <w:szCs w:val="70"/>
        </w:rPr>
      </w:pPr>
    </w:p>
    <w:p w14:paraId="41992F86">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14:paraId="571298D0">
      <w:pPr>
        <w:pStyle w:val="2"/>
      </w:pPr>
    </w:p>
    <w:p w14:paraId="5331F884">
      <w:pPr>
        <w:pStyle w:val="3"/>
      </w:pPr>
    </w:p>
    <w:p w14:paraId="2CCAD852"/>
    <w:p w14:paraId="440E89DF">
      <w:pPr>
        <w:pStyle w:val="2"/>
      </w:pPr>
    </w:p>
    <w:p w14:paraId="645B9B76">
      <w:pPr>
        <w:pStyle w:val="3"/>
      </w:pPr>
    </w:p>
    <w:p w14:paraId="539F25AC"/>
    <w:p w14:paraId="47AFAB8F">
      <w:pPr>
        <w:pStyle w:val="2"/>
      </w:pPr>
    </w:p>
    <w:p w14:paraId="479D6353">
      <w:pPr>
        <w:pStyle w:val="3"/>
      </w:pPr>
    </w:p>
    <w:p w14:paraId="648103ED"/>
    <w:p w14:paraId="08A5EA8F">
      <w:pPr>
        <w:pStyle w:val="2"/>
      </w:pPr>
    </w:p>
    <w:p w14:paraId="3FD0BAB6">
      <w:pPr>
        <w:pStyle w:val="3"/>
      </w:pPr>
    </w:p>
    <w:p w14:paraId="1CAE18D7"/>
    <w:p w14:paraId="5994BDDC">
      <w:pPr>
        <w:pStyle w:val="2"/>
      </w:pPr>
    </w:p>
    <w:p w14:paraId="51F60F8D">
      <w:pPr>
        <w:pStyle w:val="3"/>
      </w:pPr>
    </w:p>
    <w:p w14:paraId="715B8195"/>
    <w:p w14:paraId="3F608935">
      <w:pPr>
        <w:pStyle w:val="2"/>
      </w:pPr>
    </w:p>
    <w:p w14:paraId="274FE3C9">
      <w:pPr>
        <w:ind w:firstLine="640" w:firstLineChars="200"/>
        <w:jc w:val="left"/>
        <w:rPr>
          <w:rFonts w:hint="eastAsia" w:ascii="仿宋_GB2312" w:hAnsi="仿宋_GB2312" w:eastAsia="仿宋_GB2312" w:cs="仿宋_GB2312"/>
          <w:color w:val="000000"/>
          <w:kern w:val="0"/>
          <w:sz w:val="32"/>
          <w:szCs w:val="32"/>
        </w:rPr>
      </w:pPr>
    </w:p>
    <w:p w14:paraId="1741E604">
      <w:pPr>
        <w:ind w:firstLine="640" w:firstLineChars="200"/>
        <w:jc w:val="left"/>
        <w:rPr>
          <w:rFonts w:hint="eastAsia" w:ascii="仿宋_GB2312" w:hAnsi="仿宋_GB2312" w:eastAsia="仿宋_GB2312" w:cs="仿宋_GB2312"/>
          <w:color w:val="000000"/>
          <w:kern w:val="0"/>
          <w:sz w:val="32"/>
          <w:szCs w:val="32"/>
        </w:rPr>
      </w:pPr>
    </w:p>
    <w:p w14:paraId="02E59030">
      <w:pPr>
        <w:ind w:firstLine="640" w:firstLineChars="200"/>
        <w:jc w:val="left"/>
        <w:rPr>
          <w:rFonts w:hint="eastAsia" w:ascii="仿宋_GB2312" w:hAnsi="仿宋_GB2312" w:eastAsia="仿宋_GB2312" w:cs="仿宋_GB2312"/>
          <w:color w:val="000000"/>
          <w:kern w:val="0"/>
          <w:sz w:val="32"/>
          <w:szCs w:val="32"/>
        </w:rPr>
      </w:pPr>
    </w:p>
    <w:p w14:paraId="61CE71B9">
      <w:pPr>
        <w:pStyle w:val="2"/>
        <w:rPr>
          <w:rFonts w:hint="eastAsia"/>
        </w:rPr>
      </w:pPr>
    </w:p>
    <w:p w14:paraId="793F6BC2">
      <w:pPr>
        <w:ind w:firstLine="640" w:firstLineChars="200"/>
        <w:jc w:val="left"/>
        <w:rPr>
          <w:rFonts w:hint="eastAsia" w:ascii="仿宋_GB2312" w:hAnsi="仿宋_GB2312" w:eastAsia="仿宋_GB2312" w:cs="仿宋_GB2312"/>
          <w:color w:val="000000"/>
          <w:kern w:val="0"/>
          <w:sz w:val="32"/>
          <w:szCs w:val="32"/>
        </w:rPr>
      </w:pPr>
    </w:p>
    <w:p w14:paraId="16C367E2">
      <w:pPr>
        <w:ind w:firstLine="640" w:firstLineChars="200"/>
        <w:jc w:val="left"/>
        <w:rPr>
          <w:rFonts w:hint="eastAsia" w:ascii="仿宋_GB2312" w:hAnsi="仿宋_GB2312" w:eastAsia="仿宋_GB2312" w:cs="仿宋_GB2312"/>
          <w:color w:val="000000"/>
          <w:kern w:val="0"/>
          <w:sz w:val="32"/>
          <w:szCs w:val="32"/>
        </w:rPr>
      </w:pPr>
    </w:p>
    <w:p w14:paraId="0160B065">
      <w:pPr>
        <w:ind w:firstLine="640" w:firstLineChars="200"/>
        <w:jc w:val="left"/>
        <w:rPr>
          <w:rFonts w:hint="eastAsia" w:ascii="仿宋_GB2312" w:hAnsi="仿宋_GB2312" w:eastAsia="仿宋_GB2312" w:cs="仿宋_GB2312"/>
          <w:color w:val="000000"/>
          <w:kern w:val="0"/>
          <w:sz w:val="32"/>
          <w:szCs w:val="32"/>
        </w:rPr>
      </w:pPr>
    </w:p>
    <w:p w14:paraId="52CAB8A5">
      <w:pPr>
        <w:ind w:firstLine="640" w:firstLineChars="200"/>
        <w:jc w:val="left"/>
        <w:rPr>
          <w:rFonts w:hint="eastAsia" w:ascii="宋体" w:hAnsi="宋体" w:cs="宋体"/>
          <w:color w:val="000000"/>
          <w:kern w:val="0"/>
          <w:sz w:val="32"/>
          <w:szCs w:val="32"/>
        </w:rPr>
      </w:pPr>
    </w:p>
    <w:p w14:paraId="583F2EFB">
      <w:pPr>
        <w:ind w:firstLine="640" w:firstLineChars="200"/>
        <w:jc w:val="left"/>
        <w:rPr>
          <w:rFonts w:hint="eastAsia" w:ascii="宋体" w:hAnsi="宋体" w:cs="宋体"/>
          <w:color w:val="000000"/>
          <w:kern w:val="0"/>
          <w:sz w:val="32"/>
          <w:szCs w:val="32"/>
        </w:rPr>
      </w:pPr>
    </w:p>
    <w:p w14:paraId="511817A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一、财政拨款收入：指本级财政当年拨付的资金。</w:t>
      </w:r>
    </w:p>
    <w:p w14:paraId="3C59432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二、事业收入：指事业单位开展专业业务活动及辅助活动所取得的收入。</w:t>
      </w:r>
    </w:p>
    <w:p w14:paraId="40C05FFC">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三、其他收入：指除上述“财政拨款收入”、“上级补助收入”、“事业收入”、“经营收入”、“附属单位上缴收入”等以外的收入。</w:t>
      </w:r>
    </w:p>
    <w:p w14:paraId="033CB21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四、上年结转和结余：指以前年度尚未完成、结转到本年按有关规定继续使用的资金。</w:t>
      </w:r>
    </w:p>
    <w:p w14:paraId="2B10FE8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五、年末结转和结余资金：指本年度或以前年度预算安排、因客观条件发生变化无法按原计划实施，需要延迟到以后年度按有关规定继续使用的资金。</w:t>
      </w:r>
    </w:p>
    <w:p w14:paraId="0B7CE7DB">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六、一般公共服务支出（类）：是指用于人大、政协、政府办公厅（室）及相关机构事务、发展与改革事务、统计信息事务、财政事务、税收事务、审计事务、人力资源事务、纪检监察事务、商贸事务、工商行政管理事务、质量技术监督与检验检疫事务、民族事务、档案事务、民主党派及工商</w:t>
      </w:r>
      <w:r>
        <w:rPr>
          <w:rFonts w:hint="eastAsia" w:ascii="宋体" w:hAnsi="宋体" w:cs="宋体"/>
          <w:color w:val="000000"/>
          <w:kern w:val="0"/>
          <w:sz w:val="32"/>
          <w:szCs w:val="32"/>
          <w:lang w:eastAsia="zh-CN"/>
        </w:rPr>
        <w:t>。</w:t>
      </w:r>
    </w:p>
    <w:p w14:paraId="67876C7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七、教育支出（类）：是指用于政府教育事务支出，包括保障机构正常运转、完成日常和特定的工作任务或事业发展目标的支出。</w:t>
      </w:r>
    </w:p>
    <w:p w14:paraId="0666491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八、科学技术支出（类）：是指用于科学技术方面的支出，包括保障机构正常运转、完成日常和特定的工作任务或事业发展目标的支出。</w:t>
      </w:r>
    </w:p>
    <w:p w14:paraId="2A7A0AA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九、文化体育与传媒支出（类）：是指用于文化、文物、体育、新闻出版广播影视等方面的支出，包括保障机构正常运转、完成日常和特定的工作任务或事业发展目标的支出。</w:t>
      </w:r>
    </w:p>
    <w:p w14:paraId="0D5ECEC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社会保障和就业支出（类）：是指用于社会保障和就业方面的支出，包括保障机构正常运转、完成日常和特定的工作任务或事业发展目标的支出。归口管理的行政单位离退休，指离退休人员管理机构统一管理的机关离退休人员的经费。</w:t>
      </w:r>
    </w:p>
    <w:p w14:paraId="2921BBF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十一、医疗卫生与计划生育支出（类）：是指用于医疗卫生与计划生育方面的支出，包括保障机构正常运转、完成日常和特定的工作任务或事业发展目标的支出。</w:t>
      </w:r>
    </w:p>
    <w:p w14:paraId="2DB2DC0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十二、城乡社区支出（类）：是指用于城乡社区事务支出，包括保障机构正常运转、完成日常和特定的工作任务或事业发展目标的支出。</w:t>
      </w:r>
    </w:p>
    <w:p w14:paraId="052D366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十三、住房保障支出（类）：是指用于住房方面的支出，包括保障机构正常运转、完成日常和特定的工作任务或事业发展目标的支出。</w:t>
      </w:r>
    </w:p>
    <w:p w14:paraId="2221597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十四、基本支出：指保障机构正常运转、完成支日常工作任务而发生的人员支出和公用支出。</w:t>
      </w:r>
    </w:p>
    <w:p w14:paraId="753493E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十五、项目支出：指在基本支出之外为完成特定行政任务和事业发展目标所发生的支出。</w:t>
      </w:r>
    </w:p>
    <w:p w14:paraId="799415FB">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十六、“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r>
        <w:rPr>
          <w:rFonts w:hint="eastAsia" w:ascii="宋体" w:hAnsi="宋体" w:cs="宋体"/>
          <w:color w:val="000000"/>
          <w:kern w:val="0"/>
          <w:sz w:val="32"/>
          <w:szCs w:val="32"/>
          <w:lang w:eastAsia="zh-CN"/>
        </w:rPr>
        <w:t>。</w:t>
      </w:r>
    </w:p>
    <w:p w14:paraId="2F5A477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七、政府采购：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14:paraId="71D04C4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十八、工资福利支出：反映单位开支的在职职工和编制外长期聘用人员的各类劳动报酬，以及为上述人员缴纳的各项社会保险费等。</w:t>
      </w:r>
    </w:p>
    <w:p w14:paraId="31F61E3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十九、基本工资：反映按规定发放的基本工资，包括公务员的职务工资、级别工资；机关工人的岗位工资、技术等级工资；事业单位工作人员的岗位工资、薪级工资；各类学校毕业生试用期</w:t>
      </w:r>
      <w:r>
        <w:rPr>
          <w:rFonts w:ascii="宋体" w:hAnsi="宋体" w:cs="宋体"/>
          <w:color w:val="000000"/>
          <w:kern w:val="0"/>
          <w:sz w:val="32"/>
          <w:szCs w:val="32"/>
        </w:rPr>
        <w:t>(</w:t>
      </w:r>
      <w:r>
        <w:rPr>
          <w:rFonts w:hint="eastAsia" w:ascii="宋体" w:hAnsi="宋体" w:cs="宋体"/>
          <w:color w:val="000000"/>
          <w:kern w:val="0"/>
          <w:sz w:val="32"/>
          <w:szCs w:val="32"/>
        </w:rPr>
        <w:t>见习期</w:t>
      </w:r>
      <w:r>
        <w:rPr>
          <w:rFonts w:ascii="宋体" w:hAnsi="宋体" w:cs="宋体"/>
          <w:color w:val="000000"/>
          <w:kern w:val="0"/>
          <w:sz w:val="32"/>
          <w:szCs w:val="32"/>
        </w:rPr>
        <w:t>)</w:t>
      </w:r>
      <w:r>
        <w:rPr>
          <w:rFonts w:hint="eastAsia" w:ascii="宋体" w:hAnsi="宋体" w:cs="宋体"/>
          <w:color w:val="000000"/>
          <w:kern w:val="0"/>
          <w:sz w:val="32"/>
          <w:szCs w:val="32"/>
        </w:rPr>
        <w:t>工资、新参加工作工人学徒期、熟练期工资；军队（武警）军官、文职干部的职务（专业技术等级</w:t>
      </w:r>
    </w:p>
    <w:p w14:paraId="3B5736B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二十、津贴补贴：反映经国家批准建立的机关事业单位艰苦边远地区津贴、机关工作人员地区附加津贴、机关工作人员岗位津贴、事业单位工作人员特殊岗位津贴补贴等。</w:t>
      </w:r>
    </w:p>
    <w:p w14:paraId="37D1ABB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二十一、奖金：反映机关工作人员年终一次性奖金。</w:t>
      </w:r>
    </w:p>
    <w:p w14:paraId="7D9FC85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二十二、其他社会保障缴费：反映单位为职工缴纳的基本医疗、失业、工伤、生育等社会保险费，残疾人就业保障金，军队（含武警）为军人缴纳的伤亡、退役医疗等社会保险费。</w:t>
      </w:r>
    </w:p>
    <w:p w14:paraId="48ED44E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二十三、伙食补助费：反映单位发给职工的伙食补助费，如误餐补助等。</w:t>
      </w:r>
    </w:p>
    <w:p w14:paraId="7D03C9D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二十四、绩效工资：反映事业单位工作人员的绩效工资。</w:t>
      </w:r>
    </w:p>
    <w:p w14:paraId="0AD9E15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二十五、机关事业单位基本养老保险缴费：反映机关事业单位缴纳的基本养老保险费。由单位代扣的工作人员基本养老保险缴费，不在此科目反映。</w:t>
      </w:r>
    </w:p>
    <w:p w14:paraId="6031254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二十六、职业年金缴费：反映机关事业单位实际缴纳的职业年金支出。由单位代扣的工作人员职业年金缴费，不在此科目反映。</w:t>
      </w:r>
    </w:p>
    <w:p w14:paraId="025AF32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七、其他工资福利支出：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7EFE1373">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二十八、商品和服务支出：反映单位购买商品和服务的支出（不包括用于购置固定资产的支出、战略性和应急储备支出）。</w:t>
      </w:r>
    </w:p>
    <w:p w14:paraId="23143F7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二十九、办公费：反映单位购买按财务会计制度规定不符合固定资产确认标准的日常办公用品、书报杂志等支出。</w:t>
      </w:r>
    </w:p>
    <w:p w14:paraId="6DC2C8B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三十、印刷费：反映单位的印刷费支出。</w:t>
      </w:r>
    </w:p>
    <w:p w14:paraId="2AF69EF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三十一、咨询费：反映单位咨询方面的支出。</w:t>
      </w:r>
    </w:p>
    <w:p w14:paraId="05E6443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三十二、手续费：反映单位支付的各类手续费支出。</w:t>
      </w:r>
    </w:p>
    <w:p w14:paraId="3375BE4D">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三十三、水费：反映单位支付的水费、污水处理费等支出。</w:t>
      </w:r>
    </w:p>
    <w:p w14:paraId="7E673D0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三十四、电费：反映单位的电费支出。</w:t>
      </w:r>
    </w:p>
    <w:p w14:paraId="21E3D16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三十五、邮电费：反映单位开支的信函、包裹、货物等物品的邮寄费及电话费、电报费、传真费、网络通讯费等。</w:t>
      </w:r>
    </w:p>
    <w:p w14:paraId="0E95FBA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三十六、物业管理费：反映单位开支的办公用房以及未实行职工住宅物业服务改革的在职职工和离退休人员宿舍等的物业管理费，包括综合治理、绿化、卫生等方面的支出。</w:t>
      </w:r>
    </w:p>
    <w:p w14:paraId="455057A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三十七、差旅费：反映单位工作人员出差发生的城市间交通费、住宿费、伙食补贴费和市内交通费。</w:t>
      </w:r>
    </w:p>
    <w:p w14:paraId="5C7D863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三十八、因公出国（境）费用：反映单位公务出国</w:t>
      </w:r>
      <w:r>
        <w:rPr>
          <w:rFonts w:ascii="宋体" w:hAnsi="宋体" w:cs="宋体"/>
          <w:color w:val="000000"/>
          <w:kern w:val="0"/>
          <w:sz w:val="32"/>
          <w:szCs w:val="32"/>
        </w:rPr>
        <w:t>(</w:t>
      </w:r>
      <w:r>
        <w:rPr>
          <w:rFonts w:hint="eastAsia" w:ascii="宋体" w:hAnsi="宋体" w:cs="宋体"/>
          <w:color w:val="000000"/>
          <w:kern w:val="0"/>
          <w:sz w:val="32"/>
          <w:szCs w:val="32"/>
        </w:rPr>
        <w:t>境</w:t>
      </w:r>
      <w:r>
        <w:rPr>
          <w:rFonts w:ascii="宋体" w:hAnsi="宋体" w:cs="宋体"/>
          <w:color w:val="000000"/>
          <w:kern w:val="0"/>
          <w:sz w:val="32"/>
          <w:szCs w:val="32"/>
        </w:rPr>
        <w:t>)</w:t>
      </w:r>
      <w:r>
        <w:rPr>
          <w:rFonts w:hint="eastAsia" w:ascii="宋体" w:hAnsi="宋体" w:cs="宋体"/>
          <w:color w:val="000000"/>
          <w:kern w:val="0"/>
          <w:sz w:val="32"/>
          <w:szCs w:val="32"/>
        </w:rPr>
        <w:t>的住宿费、旅费、伙食补助费、杂费、培训费等支出。</w:t>
      </w:r>
    </w:p>
    <w:p w14:paraId="2197C6E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三十九、维修</w:t>
      </w:r>
      <w:r>
        <w:rPr>
          <w:rFonts w:ascii="宋体" w:hAnsi="宋体" w:cs="宋体"/>
          <w:color w:val="000000"/>
          <w:kern w:val="0"/>
          <w:sz w:val="32"/>
          <w:szCs w:val="32"/>
        </w:rPr>
        <w:t>(</w:t>
      </w:r>
      <w:r>
        <w:rPr>
          <w:rFonts w:hint="eastAsia" w:ascii="宋体" w:hAnsi="宋体" w:cs="宋体"/>
          <w:color w:val="000000"/>
          <w:kern w:val="0"/>
          <w:sz w:val="32"/>
          <w:szCs w:val="32"/>
        </w:rPr>
        <w:t>护</w:t>
      </w:r>
      <w:r>
        <w:rPr>
          <w:rFonts w:ascii="宋体" w:hAnsi="宋体" w:cs="宋体"/>
          <w:color w:val="000000"/>
          <w:kern w:val="0"/>
          <w:sz w:val="32"/>
          <w:szCs w:val="32"/>
        </w:rPr>
        <w:t>)</w:t>
      </w:r>
      <w:r>
        <w:rPr>
          <w:rFonts w:hint="eastAsia" w:ascii="宋体" w:hAnsi="宋体" w:cs="宋体"/>
          <w:color w:val="000000"/>
          <w:kern w:val="0"/>
          <w:sz w:val="32"/>
          <w:szCs w:val="32"/>
        </w:rPr>
        <w:t>费：反映单位日常开支的固定资产（不包括车船等交通工具）修理和维护费用，网络信息系统运行与维护费用，以及按规定提取的修购基金。</w:t>
      </w:r>
    </w:p>
    <w:p w14:paraId="4DB42508">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四十、租赁费：反映租赁办公用房、宿舍、专用通讯网以及其他设备等方面的费用。</w:t>
      </w:r>
    </w:p>
    <w:p w14:paraId="7F109DE0">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四十一、会议费：反映会议中按规定开支的住宿费、伙食费、会议室租金、交通费、文件印刷费、医药费等。</w:t>
      </w:r>
    </w:p>
    <w:p w14:paraId="1EF560D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四十二、培训费：反映除因公出国（境）培训费以外的各类培训支出。</w:t>
      </w:r>
    </w:p>
    <w:p w14:paraId="4BE5F4C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四十三、公务接待费：反映单位按规定开支的各类公务接待（含外宾接待）费用。</w:t>
      </w:r>
    </w:p>
    <w:p w14:paraId="4EEF82F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四、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00D2027D">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四十五、专用燃料费：反映用作业务工作设备的车、船设施等的油料支出。</w:t>
      </w:r>
    </w:p>
    <w:p w14:paraId="5A05079E">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四十六、劳务费：反映支付给单位和个人的劳务费用，如临时聘用人员、钟点工工资，稿费、翻译费，评审费等。</w:t>
      </w:r>
    </w:p>
    <w:p w14:paraId="72E7EEF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四十七、委托业务费：反映因委托外单位办理业务而支付的委托业务费。</w:t>
      </w:r>
    </w:p>
    <w:p w14:paraId="77586237">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四十八、工会经费：反映单位按规定提取的工会经费。</w:t>
      </w:r>
    </w:p>
    <w:p w14:paraId="3B3922F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四十九、福利费：反映单位按规定提取的福利费。</w:t>
      </w:r>
    </w:p>
    <w:p w14:paraId="0F96993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五十、公务用车运行维护费：反映单位按规定保留的公务用车燃料费、维修费、过桥过路费、保险费、安全奖励费用等支出。</w:t>
      </w:r>
    </w:p>
    <w:p w14:paraId="0B781FE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五十一、其他交通费用：反映单位除公务用车运行维护费以外的其他交通费用。如公务交通补贴，租车费用、出租车费用，飞机、船舶等的燃料费、维修费、保险费等。</w:t>
      </w:r>
    </w:p>
    <w:p w14:paraId="6CDD706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五十二、税金及附加费用：反映单位提供劳务或销售产品应负担的税金及附加费用，包括营业税、消费税、城市维护建设税、资源税和教育附加等。</w:t>
      </w:r>
    </w:p>
    <w:p w14:paraId="5B0DF8A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五十三、其他商品和服务支出：反映上述科目未包括的日常公用支出。如行政赔偿费和诉讼费、国内组织的会员费、来访费、广告宣传、其他劳务费及离休人员特需费、公用经费等。</w:t>
      </w:r>
    </w:p>
    <w:p w14:paraId="68CF352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五十四、对个人和家庭的补助：反映政府用于对个人和家庭的补助支出。</w:t>
      </w:r>
    </w:p>
    <w:p w14:paraId="0402C1E6">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五十五、离休费：反映行政事业单位和军队移交政府安置的离休人员的离休费、护理费和其他补贴。</w:t>
      </w:r>
    </w:p>
    <w:p w14:paraId="6312A211">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五十六、退休费：反映行政事业单位和军队移交政府安置的退休人员的退休费和其他补贴。</w:t>
      </w:r>
    </w:p>
    <w:p w14:paraId="1B60DA29">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五十七、抚恤金：反映按规定开支的烈士遗属、牺牲病故人员遗属的一次性和定期抚恤金，伤残人员的抚恤金，离退休人员等其他人员的各项抚恤金。</w:t>
      </w:r>
    </w:p>
    <w:p w14:paraId="48FF7D69">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五十八、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w:t>
      </w:r>
      <w:r>
        <w:rPr>
          <w:rFonts w:hint="eastAsia" w:ascii="宋体" w:hAnsi="宋体" w:cs="宋体"/>
          <w:color w:val="000000"/>
          <w:kern w:val="0"/>
          <w:sz w:val="32"/>
          <w:szCs w:val="32"/>
          <w:lang w:eastAsia="zh-CN"/>
        </w:rPr>
        <w:t>。</w:t>
      </w:r>
    </w:p>
    <w:p w14:paraId="47A67BC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五十九、医疗费：反映行政事业单位在职职工、离退休人员的医疗费，军队移交政府安置的离退休人员的医疗费，学生医疗费，优抚对象医疗补助，以及按国家规定资助农民参加新型农村合作医疗和城镇居民参加城镇居民基本医疗保险的支出和对城乡贫困家庭的医疗救助支出。</w:t>
      </w:r>
    </w:p>
    <w:p w14:paraId="68F076E3">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助学金：反映各类学校学生助学金、奖学金、学生贷款、出国留学（实习）人员生活费，青少年业余体校学员伙食补助费和生活费补贴，按照协议由我方负担或享受我方奖学金的来华留学生、进修生生活费等。</w:t>
      </w:r>
    </w:p>
    <w:p w14:paraId="2B3A6D7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六十一、奖励金：反映政府各部门的奖励支出，如对个体私营经济的奖励、计划生育目标责任奖励、独生子女父母奖励等。</w:t>
      </w:r>
    </w:p>
    <w:p w14:paraId="7F7BF024">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六十二、住房公积金：反映行政事业单位按人力资源和社会保障部、财政部规定的基本工资和津贴补贴以及规定比例为职工缴纳的住房公积金。</w:t>
      </w:r>
    </w:p>
    <w:p w14:paraId="4BBC0B5A">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六十三、提租补贴：反映按房改政策规定的标准，行政事业单位向职工（含离退休人员）发放的租金补贴。</w:t>
      </w:r>
    </w:p>
    <w:p w14:paraId="26A90682">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六十四、购房补贴：反映按房改政策规定，行政事业单位向符合条件职工（含离退休人员）、军队</w:t>
      </w:r>
      <w:r>
        <w:rPr>
          <w:rFonts w:ascii="宋体" w:hAnsi="宋体" w:cs="宋体"/>
          <w:color w:val="000000"/>
          <w:kern w:val="0"/>
          <w:sz w:val="32"/>
          <w:szCs w:val="32"/>
        </w:rPr>
        <w:t>(</w:t>
      </w:r>
      <w:r>
        <w:rPr>
          <w:rFonts w:hint="eastAsia" w:ascii="宋体" w:hAnsi="宋体" w:cs="宋体"/>
          <w:color w:val="000000"/>
          <w:kern w:val="0"/>
          <w:sz w:val="32"/>
          <w:szCs w:val="32"/>
        </w:rPr>
        <w:t>含武警</w:t>
      </w:r>
      <w:r>
        <w:rPr>
          <w:rFonts w:ascii="宋体" w:hAnsi="宋体" w:cs="宋体"/>
          <w:color w:val="000000"/>
          <w:kern w:val="0"/>
          <w:sz w:val="32"/>
          <w:szCs w:val="32"/>
        </w:rPr>
        <w:t>)</w:t>
      </w:r>
      <w:r>
        <w:rPr>
          <w:rFonts w:hint="eastAsia" w:ascii="宋体" w:hAnsi="宋体" w:cs="宋体"/>
          <w:color w:val="000000"/>
          <w:kern w:val="0"/>
          <w:sz w:val="32"/>
          <w:szCs w:val="32"/>
        </w:rPr>
        <w:t>向转役复员离退休人员发放的用于购买住房的补贴。</w:t>
      </w:r>
    </w:p>
    <w:p w14:paraId="5122F23A">
      <w:pPr>
        <w:ind w:firstLine="640" w:firstLineChars="200"/>
        <w:jc w:val="left"/>
        <w:rPr>
          <w:rFonts w:hint="eastAsia" w:ascii="宋体" w:cs="宋体" w:eastAsiaTheme="minorEastAsia"/>
          <w:color w:val="000000"/>
          <w:kern w:val="0"/>
          <w:sz w:val="32"/>
          <w:szCs w:val="32"/>
          <w:lang w:eastAsia="zh-CN"/>
        </w:rPr>
      </w:pPr>
      <w:r>
        <w:rPr>
          <w:rFonts w:hint="eastAsia" w:ascii="宋体" w:hAnsi="宋体" w:cs="宋体"/>
          <w:color w:val="000000"/>
          <w:kern w:val="0"/>
          <w:sz w:val="32"/>
          <w:szCs w:val="32"/>
        </w:rPr>
        <w:t>六十五、其他对个人和家庭的补助支出：反映未包括在上述科目的对个人和家庭的补助支出，如婴幼儿补贴、职工探亲旅费、退职人员及随行家属路费、符合条件的退役回乡义务兵一次性建房补助、符合安置条件的城镇退役士兵自谋职业的一次性经济补助费、对农户的生产经营补贴、保障性住房租</w:t>
      </w:r>
      <w:r>
        <w:rPr>
          <w:rFonts w:hint="eastAsia" w:ascii="宋体" w:hAnsi="宋体" w:cs="宋体"/>
          <w:color w:val="000000"/>
          <w:kern w:val="0"/>
          <w:sz w:val="32"/>
          <w:szCs w:val="32"/>
          <w:lang w:eastAsia="zh-CN"/>
        </w:rPr>
        <w:t>。</w:t>
      </w:r>
    </w:p>
    <w:p w14:paraId="1D209E45">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六十六、其他资本性支出：反映发展与改革部门以外的其他部门安排的用于购置固定资产、战略性和应急性储备、土地和无形资产，以及购建基础设施、大型修缮和财政支持企业更新改造所发生的支出。</w:t>
      </w:r>
    </w:p>
    <w:p w14:paraId="2962303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六十七、办公设备购置：反映用于购置并按财务会计制度规定纳入固定资产核算范围的办公家具和办公设备的支出，以及按规定提取的修购基金。</w:t>
      </w:r>
    </w:p>
    <w:p w14:paraId="79FE440B">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八、专用设备购置：反映用于购置具有专门用途、并按财务会计制度规定纳入固定资产核算范围的各类专用设备的支出。如通信设备、发电设备、交通监控设备、卫星转发器、气象设备、进出口监管设备等，以及按规定提取的修购基金。</w:t>
      </w:r>
    </w:p>
    <w:p w14:paraId="1212105F">
      <w:pPr>
        <w:ind w:firstLine="640" w:firstLineChars="200"/>
        <w:jc w:val="left"/>
        <w:rPr>
          <w:rFonts w:ascii="宋体" w:cs="宋体"/>
          <w:color w:val="000000"/>
          <w:kern w:val="0"/>
          <w:sz w:val="32"/>
          <w:szCs w:val="32"/>
        </w:rPr>
      </w:pPr>
      <w:r>
        <w:rPr>
          <w:rFonts w:hint="eastAsia" w:ascii="宋体" w:hAnsi="宋体" w:cs="宋体"/>
          <w:color w:val="000000"/>
          <w:kern w:val="0"/>
          <w:sz w:val="32"/>
          <w:szCs w:val="32"/>
        </w:rPr>
        <w:t>六十九、信息网络及软件购置更新：反映政府用于信息网络方面的支出。如计算机硬件、软件购置、开发、应用支出等，如果购建的计算机硬件、软件等不符合财务会计制度规定的固定资产确认标准的，不在此科目反映。</w:t>
      </w:r>
    </w:p>
    <w:p w14:paraId="034F0704">
      <w:pPr>
        <w:ind w:firstLine="640" w:firstLineChars="200"/>
        <w:jc w:val="left"/>
        <w:rPr>
          <w:rFonts w:hint="eastAsia" w:ascii="宋体" w:hAnsi="宋体" w:cs="宋体"/>
          <w:color w:val="000000"/>
          <w:kern w:val="0"/>
          <w:sz w:val="32"/>
          <w:szCs w:val="32"/>
        </w:rPr>
      </w:pPr>
      <w:r>
        <w:rPr>
          <w:rFonts w:hint="eastAsia" w:ascii="宋体" w:hAnsi="宋体" w:cs="宋体"/>
          <w:color w:val="000000"/>
          <w:kern w:val="0"/>
          <w:sz w:val="32"/>
          <w:szCs w:val="32"/>
        </w:rPr>
        <w:t>七十、其他资本性支出：反映著作权、商标权、专利权等无形资产购置支出，以及其他上述科目中未包括的资本性支出。如娱乐、文化和艺术原作的使用权、购买国内外影片播映权、购置图书等。</w:t>
      </w:r>
    </w:p>
    <w:p w14:paraId="493DE97F">
      <w:pPr>
        <w:ind w:firstLine="640" w:firstLineChars="200"/>
        <w:jc w:val="left"/>
        <w:rPr>
          <w:rFonts w:hint="eastAsia" w:asciiTheme="minorEastAsia" w:hAnsiTheme="minorEastAsia" w:cstheme="minorEastAsia"/>
          <w:color w:val="000000"/>
          <w:kern w:val="0"/>
          <w:sz w:val="28"/>
          <w:szCs w:val="28"/>
        </w:rPr>
      </w:pPr>
      <w:r>
        <w:rPr>
          <w:rFonts w:hint="eastAsia" w:asciiTheme="minorEastAsia" w:hAnsiTheme="minorEastAsia" w:cstheme="minorEastAsia"/>
          <w:color w:val="000000"/>
          <w:kern w:val="0"/>
          <w:sz w:val="32"/>
          <w:szCs w:val="32"/>
        </w:rPr>
        <w:t>七十一、机关运行经费:为保障行政单位(含参照公务员法管理的事业单位) 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431B44B">
      <w:pPr>
        <w:pStyle w:val="5"/>
      </w:pPr>
    </w:p>
    <w:p w14:paraId="24A106F1">
      <w:pPr>
        <w:widowControl/>
        <w:jc w:val="left"/>
        <w:rPr>
          <w:rFonts w:ascii="黑体" w:eastAsia="黑体" w:cs="黑体"/>
          <w:color w:val="000000"/>
          <w:kern w:val="0"/>
          <w:sz w:val="32"/>
          <w:szCs w:val="32"/>
        </w:rPr>
      </w:pPr>
    </w:p>
    <w:p w14:paraId="19254378">
      <w:pPr>
        <w:pStyle w:val="13"/>
        <w:jc w:val="center"/>
        <w:rPr>
          <w:rFonts w:hint="eastAsia" w:ascii="仿宋_GB2312" w:hAnsi="仿宋_GB2312" w:eastAsia="仿宋_GB2312" w:cs="仿宋_GB2312"/>
          <w:sz w:val="32"/>
          <w:szCs w:val="32"/>
        </w:rPr>
      </w:pPr>
    </w:p>
    <w:p w14:paraId="1D47518A">
      <w:pPr>
        <w:pStyle w:val="3"/>
      </w:pPr>
    </w:p>
    <w:p w14:paraId="580CF8E4"/>
    <w:p w14:paraId="0C17744C">
      <w:pPr>
        <w:pStyle w:val="2"/>
      </w:pPr>
    </w:p>
    <w:p w14:paraId="7B8BABF4">
      <w:pPr>
        <w:pStyle w:val="3"/>
      </w:pPr>
    </w:p>
    <w:p w14:paraId="1942C0DC"/>
    <w:p w14:paraId="6E2D1EEF">
      <w:pPr>
        <w:pStyle w:val="2"/>
      </w:pPr>
    </w:p>
    <w:p w14:paraId="5F6ABC3B">
      <w:pPr>
        <w:pStyle w:val="3"/>
      </w:pPr>
    </w:p>
    <w:p w14:paraId="51BE6437"/>
    <w:p w14:paraId="05344CBA">
      <w:pPr>
        <w:pStyle w:val="2"/>
      </w:pPr>
    </w:p>
    <w:p w14:paraId="5C9170AD">
      <w:pPr>
        <w:pStyle w:val="3"/>
      </w:pPr>
    </w:p>
    <w:p w14:paraId="29D3A91E"/>
    <w:p w14:paraId="0D2A994E">
      <w:pPr>
        <w:pStyle w:val="2"/>
      </w:pPr>
    </w:p>
    <w:p w14:paraId="59CBCCA7">
      <w:pPr>
        <w:pStyle w:val="3"/>
      </w:pPr>
    </w:p>
    <w:p w14:paraId="67806EBD"/>
    <w:p w14:paraId="7C18BB03">
      <w:pPr>
        <w:pStyle w:val="2"/>
      </w:pPr>
    </w:p>
    <w:p w14:paraId="29230CAD">
      <w:pPr>
        <w:pStyle w:val="3"/>
      </w:pPr>
    </w:p>
    <w:p w14:paraId="724E0A54"/>
    <w:p w14:paraId="496F732E">
      <w:pPr>
        <w:pStyle w:val="2"/>
      </w:pPr>
    </w:p>
    <w:p w14:paraId="354ECFD8">
      <w:pPr>
        <w:pStyle w:val="3"/>
      </w:pPr>
    </w:p>
    <w:p w14:paraId="51C67B38"/>
    <w:p w14:paraId="4D131F3E"/>
    <w:p w14:paraId="7CFBCE3C">
      <w:pPr>
        <w:pStyle w:val="2"/>
      </w:pPr>
    </w:p>
    <w:p w14:paraId="5C3DE094">
      <w:pPr>
        <w:pStyle w:val="13"/>
        <w:jc w:val="both"/>
        <w:rPr>
          <w:rFonts w:hint="eastAsia" w:ascii="方正小标宋_GBK" w:hAnsi="方正小标宋_GBK" w:eastAsia="方正小标宋_GBK" w:cs="方正小标宋_GBK"/>
          <w:sz w:val="72"/>
          <w:szCs w:val="72"/>
        </w:rPr>
      </w:pPr>
    </w:p>
    <w:p w14:paraId="0C1858E3">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592BF6CA">
      <w:pPr>
        <w:pStyle w:val="13"/>
        <w:jc w:val="both"/>
        <w:rPr>
          <w:rFonts w:hint="eastAsia" w:ascii="方正小标宋_GBK" w:hAnsi="方正小标宋_GBK" w:eastAsia="方正小标宋_GBK" w:cs="方正小标宋_GBK"/>
          <w:sz w:val="70"/>
          <w:szCs w:val="70"/>
          <w:lang w:eastAsia="zh-CN"/>
        </w:rPr>
      </w:pPr>
    </w:p>
    <w:p w14:paraId="490142D3">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3243C04E">
      <w:pPr>
        <w:ind w:firstLine="640" w:firstLineChars="200"/>
        <w:jc w:val="left"/>
        <w:rPr>
          <w:rFonts w:hint="eastAsia" w:ascii="宋体" w:hAnsi="宋体" w:eastAsia="宋体" w:cs="黑体"/>
          <w:b/>
          <w:color w:val="000000"/>
          <w:kern w:val="0"/>
          <w:sz w:val="32"/>
          <w:szCs w:val="32"/>
          <w:lang w:val="en-US" w:eastAsia="zh-CN"/>
        </w:rPr>
      </w:pPr>
    </w:p>
    <w:p w14:paraId="4EAC9354">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w:t>
      </w:r>
      <w:r>
        <w:rPr>
          <w:rFonts w:hint="eastAsia" w:ascii="宋体" w:hAnsi="宋体" w:eastAsia="宋体" w:cs="黑体"/>
          <w:b/>
          <w:color w:val="000000"/>
          <w:kern w:val="0"/>
          <w:sz w:val="32"/>
          <w:szCs w:val="32"/>
          <w:highlight w:val="none"/>
          <w:lang w:val="en-US" w:eastAsia="zh-CN"/>
        </w:rPr>
        <w:t>2024</w:t>
      </w:r>
      <w:r>
        <w:rPr>
          <w:rFonts w:hint="eastAsia" w:ascii="宋体" w:hAnsi="宋体" w:eastAsia="宋体" w:cs="黑体"/>
          <w:b/>
          <w:color w:val="000000"/>
          <w:kern w:val="0"/>
          <w:sz w:val="32"/>
          <w:szCs w:val="32"/>
          <w:lang w:val="en-US" w:eastAsia="zh-CN"/>
        </w:rPr>
        <w:t>年部门决算公开表格</w:t>
      </w:r>
    </w:p>
    <w:p w14:paraId="27E2EE8B">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highlight w:val="none"/>
        </w:rPr>
        <w:t>202</w:t>
      </w:r>
      <w:r>
        <w:rPr>
          <w:rFonts w:hint="eastAsia" w:ascii="宋体" w:hAnsi="宋体" w:eastAsia="宋体" w:cs="黑体"/>
          <w:b/>
          <w:color w:val="000000"/>
          <w:kern w:val="0"/>
          <w:sz w:val="32"/>
          <w:szCs w:val="32"/>
          <w:highlight w:val="none"/>
          <w:lang w:val="en-US" w:eastAsia="zh-CN"/>
        </w:rPr>
        <w:t>4</w:t>
      </w:r>
      <w:r>
        <w:rPr>
          <w:rFonts w:hint="eastAsia" w:ascii="宋体" w:hAnsi="宋体" w:eastAsia="宋体" w:cs="黑体"/>
          <w:b/>
          <w:color w:val="000000"/>
          <w:kern w:val="0"/>
          <w:sz w:val="32"/>
          <w:szCs w:val="32"/>
        </w:rPr>
        <w:t>年度部门整体支出绩效评价报告</w:t>
      </w:r>
    </w:p>
    <w:p w14:paraId="045AD96C"/>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B4D8E"/>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06C857E7"/>
    <w:rsid w:val="08C24A73"/>
    <w:rsid w:val="11944E2C"/>
    <w:rsid w:val="12583BA5"/>
    <w:rsid w:val="13BA5B9C"/>
    <w:rsid w:val="13C7489D"/>
    <w:rsid w:val="1D97DEFF"/>
    <w:rsid w:val="1DFF72E5"/>
    <w:rsid w:val="1EFC6F07"/>
    <w:rsid w:val="1F0527A6"/>
    <w:rsid w:val="203E4CF5"/>
    <w:rsid w:val="227C311D"/>
    <w:rsid w:val="22AC03C2"/>
    <w:rsid w:val="283B15FE"/>
    <w:rsid w:val="284A6834"/>
    <w:rsid w:val="28544E35"/>
    <w:rsid w:val="2B2160A9"/>
    <w:rsid w:val="2FDF85B8"/>
    <w:rsid w:val="2FFFEE04"/>
    <w:rsid w:val="31C95635"/>
    <w:rsid w:val="34DF85B0"/>
    <w:rsid w:val="3B8F36BC"/>
    <w:rsid w:val="4269060A"/>
    <w:rsid w:val="43EB5BA5"/>
    <w:rsid w:val="44437AAC"/>
    <w:rsid w:val="446948F1"/>
    <w:rsid w:val="491FF225"/>
    <w:rsid w:val="4DE73913"/>
    <w:rsid w:val="4EC310A1"/>
    <w:rsid w:val="4FFD214C"/>
    <w:rsid w:val="5352765A"/>
    <w:rsid w:val="54177EC5"/>
    <w:rsid w:val="5777D4F5"/>
    <w:rsid w:val="57F22B6F"/>
    <w:rsid w:val="59DD8326"/>
    <w:rsid w:val="5DEF592A"/>
    <w:rsid w:val="5F4552BC"/>
    <w:rsid w:val="5FC6BB1E"/>
    <w:rsid w:val="5FF720F1"/>
    <w:rsid w:val="622964C1"/>
    <w:rsid w:val="64DE7CA6"/>
    <w:rsid w:val="67FF5C0B"/>
    <w:rsid w:val="6BAA4A2F"/>
    <w:rsid w:val="6CEA0C3F"/>
    <w:rsid w:val="6D9914F3"/>
    <w:rsid w:val="6DDEC5C0"/>
    <w:rsid w:val="6EFC0924"/>
    <w:rsid w:val="6FB74722"/>
    <w:rsid w:val="6FEF8B7E"/>
    <w:rsid w:val="70036EBA"/>
    <w:rsid w:val="717FE77F"/>
    <w:rsid w:val="71A6591B"/>
    <w:rsid w:val="737D59BA"/>
    <w:rsid w:val="737F32B1"/>
    <w:rsid w:val="73BD3FCA"/>
    <w:rsid w:val="74DF3024"/>
    <w:rsid w:val="75D237F5"/>
    <w:rsid w:val="776BDA01"/>
    <w:rsid w:val="77C37683"/>
    <w:rsid w:val="799B7757"/>
    <w:rsid w:val="79FF515B"/>
    <w:rsid w:val="7DFBFF20"/>
    <w:rsid w:val="7E9E1962"/>
    <w:rsid w:val="7E9F11B4"/>
    <w:rsid w:val="7F37EC1E"/>
    <w:rsid w:val="7F7C0DDA"/>
    <w:rsid w:val="7F7DCD9D"/>
    <w:rsid w:val="7F970A6F"/>
    <w:rsid w:val="7FC1FFF3"/>
    <w:rsid w:val="7FC69637"/>
    <w:rsid w:val="7FDF8620"/>
    <w:rsid w:val="7FFB242F"/>
    <w:rsid w:val="7FFDB408"/>
    <w:rsid w:val="7FFE4EEB"/>
    <w:rsid w:val="95FB2B98"/>
    <w:rsid w:val="9A639BC2"/>
    <w:rsid w:val="9FF7D786"/>
    <w:rsid w:val="ABBFB23D"/>
    <w:rsid w:val="B6BE5A03"/>
    <w:rsid w:val="B8C93228"/>
    <w:rsid w:val="C3B4DA5A"/>
    <w:rsid w:val="C4FF458C"/>
    <w:rsid w:val="C7BBD038"/>
    <w:rsid w:val="CBFF70E0"/>
    <w:rsid w:val="CFF50B82"/>
    <w:rsid w:val="CFFFAD89"/>
    <w:rsid w:val="DFFE359E"/>
    <w:rsid w:val="DFFE4FFD"/>
    <w:rsid w:val="DFFF5403"/>
    <w:rsid w:val="EBC3E00A"/>
    <w:rsid w:val="EDFBE100"/>
    <w:rsid w:val="EEABED75"/>
    <w:rsid w:val="EF7E8003"/>
    <w:rsid w:val="F56FDF51"/>
    <w:rsid w:val="F5F3EE78"/>
    <w:rsid w:val="F6B69F17"/>
    <w:rsid w:val="F6E5BB3A"/>
    <w:rsid w:val="F77F1D61"/>
    <w:rsid w:val="F7FED3A9"/>
    <w:rsid w:val="F8C9DB26"/>
    <w:rsid w:val="F97E8EAE"/>
    <w:rsid w:val="FB36E1A6"/>
    <w:rsid w:val="FB3BE134"/>
    <w:rsid w:val="FCFF4275"/>
    <w:rsid w:val="FD7FEEEA"/>
    <w:rsid w:val="FDFFB577"/>
    <w:rsid w:val="FEEA50FE"/>
    <w:rsid w:val="FF7D47A9"/>
    <w:rsid w:val="FFCF21CB"/>
    <w:rsid w:val="FFF94102"/>
    <w:rsid w:val="FFFF1C8B"/>
    <w:rsid w:val="FFFF74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w:basedOn w:val="1"/>
    <w:qFormat/>
    <w:uiPriority w:val="0"/>
    <w:pPr>
      <w:spacing w:after="120" w:afterLines="0" w:afterAutospacing="0"/>
    </w:pPr>
  </w:style>
  <w:style w:type="paragraph" w:styleId="6">
    <w:name w:val="Balloon Text"/>
    <w:basedOn w:val="1"/>
    <w:link w:val="15"/>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6"/>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22</Pages>
  <Words>8464</Words>
  <Characters>8855</Characters>
  <Lines>63</Lines>
  <Paragraphs>18</Paragraphs>
  <TotalTime>0</TotalTime>
  <ScaleCrop>false</ScaleCrop>
  <LinksUpToDate>false</LinksUpToDate>
  <CharactersWithSpaces>8923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黎安</cp:lastModifiedBy>
  <cp:lastPrinted>2024-08-11T02:20:00Z</cp:lastPrinted>
  <dcterms:modified xsi:type="dcterms:W3CDTF">2025-11-03T08:15:04Z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D8D8C0C6A4804A44B690832BBEF47882_13</vt:lpwstr>
  </property>
  <property fmtid="{D5CDD505-2E9C-101B-9397-08002B2CF9AE}" pid="4" name="KSOTemplateDocerSaveRecord">
    <vt:lpwstr>eyJoZGlkIjoiYjI4ZWM0OTk4MGNlNjZhNDY2ZmM5YWI0MmYyMTdhMTMiLCJ1c2VySWQiOiI2MTc1MTQwNzkifQ==</vt:lpwstr>
  </property>
</Properties>
</file>