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河市镇学校</w:t>
      </w:r>
      <w:r>
        <w:rPr>
          <w:rFonts w:hint="eastAsia" w:ascii="方正小标宋_GBK" w:hAnsi="方正小标宋_GBK" w:eastAsia="方正小标宋_GBK" w:cs="方正小标宋_GBK"/>
          <w:sz w:val="84"/>
          <w:szCs w:val="84"/>
        </w:rPr>
        <w:t>部门决算</w:t>
      </w:r>
    </w:p>
    <w:p w14:paraId="3A699C16">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08493D1E">
      <w:pPr>
        <w:pStyle w:val="13"/>
        <w:jc w:val="center"/>
        <w:rPr>
          <w:sz w:val="32"/>
          <w:szCs w:val="32"/>
        </w:rPr>
      </w:pPr>
    </w:p>
    <w:p w14:paraId="5BD6E8BD">
      <w:pPr>
        <w:pStyle w:val="13"/>
        <w:jc w:val="center"/>
        <w:rPr>
          <w:sz w:val="32"/>
          <w:szCs w:val="32"/>
        </w:rPr>
      </w:pPr>
    </w:p>
    <w:p w14:paraId="1062A3B4">
      <w:pPr>
        <w:pStyle w:val="13"/>
        <w:jc w:val="center"/>
        <w:rPr>
          <w:sz w:val="32"/>
          <w:szCs w:val="32"/>
        </w:rPr>
      </w:pPr>
    </w:p>
    <w:p w14:paraId="6311DFC7">
      <w:pPr>
        <w:pStyle w:val="13"/>
        <w:jc w:val="center"/>
        <w:rPr>
          <w:sz w:val="32"/>
          <w:szCs w:val="32"/>
        </w:rPr>
      </w:pPr>
    </w:p>
    <w:p w14:paraId="50228290">
      <w:pPr>
        <w:pStyle w:val="13"/>
        <w:spacing w:line="540" w:lineRule="exact"/>
        <w:jc w:val="center"/>
        <w:rPr>
          <w:sz w:val="56"/>
          <w:szCs w:val="56"/>
        </w:rPr>
      </w:pPr>
    </w:p>
    <w:p w14:paraId="459C483D">
      <w:pPr>
        <w:pStyle w:val="13"/>
        <w:spacing w:line="500" w:lineRule="exact"/>
        <w:jc w:val="both"/>
        <w:rPr>
          <w:b/>
          <w:sz w:val="36"/>
          <w:szCs w:val="28"/>
        </w:rPr>
      </w:pPr>
    </w:p>
    <w:p w14:paraId="24F3309B">
      <w:pPr>
        <w:pStyle w:val="13"/>
        <w:spacing w:line="500" w:lineRule="exact"/>
        <w:jc w:val="center"/>
        <w:rPr>
          <w:b/>
          <w:sz w:val="36"/>
          <w:szCs w:val="28"/>
        </w:rPr>
      </w:pPr>
      <w:r>
        <w:rPr>
          <w:rFonts w:hint="eastAsia"/>
          <w:b/>
          <w:sz w:val="36"/>
          <w:szCs w:val="28"/>
        </w:rPr>
        <w:t>目录</w:t>
      </w:r>
    </w:p>
    <w:p w14:paraId="6CBD0C2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河市镇学校</w:t>
      </w:r>
      <w:r>
        <w:rPr>
          <w:rFonts w:hint="eastAsia" w:ascii="黑体" w:hAnsi="黑体" w:eastAsia="黑体" w:cs="黑体"/>
          <w:b w:val="0"/>
          <w:bCs/>
          <w:sz w:val="28"/>
          <w:szCs w:val="28"/>
        </w:rPr>
        <w:t>概况</w:t>
      </w:r>
    </w:p>
    <w:p w14:paraId="060CB1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0DEEC2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3"/>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河市镇学校</w:t>
      </w:r>
      <w:r>
        <w:rPr>
          <w:rFonts w:hint="eastAsia" w:ascii="方正小标宋_GBK" w:hAnsi="方正小标宋_GBK" w:eastAsia="方正小标宋_GBK" w:cs="方正小标宋_GBK"/>
          <w:sz w:val="84"/>
          <w:szCs w:val="84"/>
        </w:rPr>
        <w:t>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2"/>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98C2FF1">
      <w:pPr>
        <w:ind w:firstLine="800" w:firstLineChars="250"/>
        <w:jc w:val="left"/>
        <w:rPr>
          <w:rFonts w:hint="eastAsia" w:ascii="Times New Roman" w:hAnsi="Times New Roman" w:eastAsia="仿宋_GB2312" w:cs="仿宋_GB2312"/>
          <w:sz w:val="32"/>
          <w:szCs w:val="32"/>
        </w:rPr>
      </w:pPr>
      <w:r>
        <w:rPr>
          <w:rFonts w:hint="eastAsia" w:ascii="宋体" w:hAnsi="宋体" w:cs="Arial"/>
          <w:color w:val="000000"/>
          <w:kern w:val="0"/>
          <w:sz w:val="32"/>
          <w:szCs w:val="32"/>
        </w:rPr>
        <w:t>河市镇学校以实施小学教育为主要职能，隶属于岳阳市屈原管理区教育</w:t>
      </w:r>
      <w:r>
        <w:rPr>
          <w:rFonts w:hint="eastAsia" w:ascii="宋体" w:hAnsi="宋体" w:cs="Arial"/>
          <w:color w:val="000000"/>
          <w:kern w:val="0"/>
          <w:sz w:val="32"/>
          <w:szCs w:val="32"/>
          <w:lang w:val="en-US" w:eastAsia="zh-CN"/>
        </w:rPr>
        <w:t>体育</w:t>
      </w:r>
      <w:r>
        <w:rPr>
          <w:rFonts w:hint="eastAsia" w:ascii="宋体" w:hAnsi="宋体" w:cs="Arial"/>
          <w:color w:val="000000"/>
          <w:kern w:val="0"/>
          <w:sz w:val="32"/>
          <w:szCs w:val="32"/>
        </w:rPr>
        <w:t>局管理的全额拨款事业单位。</w:t>
      </w:r>
    </w:p>
    <w:p w14:paraId="0368E7F0">
      <w:pPr>
        <w:ind w:firstLine="800" w:firstLineChars="250"/>
        <w:jc w:val="left"/>
        <w:rPr>
          <w:rFonts w:hint="eastAsia" w:ascii="Times New Roman" w:hAnsi="Times New Roman" w:eastAsia="仿宋_GB2312" w:cs="仿宋_GB2312"/>
          <w:sz w:val="32"/>
          <w:szCs w:val="32"/>
        </w:rPr>
      </w:pP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B2EEC5A">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38AE043A">
      <w:pPr>
        <w:widowControl/>
        <w:spacing w:line="600" w:lineRule="exact"/>
        <w:ind w:firstLine="960" w:firstLineChars="300"/>
        <w:rPr>
          <w:rFonts w:hint="eastAsia"/>
        </w:rPr>
      </w:pPr>
      <w:r>
        <w:rPr>
          <w:rFonts w:hint="eastAsia" w:ascii="宋体" w:hAnsi="宋体" w:cs="Arial"/>
          <w:color w:val="000000"/>
          <w:kern w:val="0"/>
          <w:sz w:val="32"/>
          <w:szCs w:val="32"/>
        </w:rPr>
        <w:t>河市镇学校内设机构</w:t>
      </w:r>
      <w:r>
        <w:rPr>
          <w:rFonts w:ascii="宋体" w:hAnsi="宋体" w:cs="Arial"/>
          <w:color w:val="000000"/>
          <w:kern w:val="0"/>
          <w:sz w:val="32"/>
          <w:szCs w:val="32"/>
        </w:rPr>
        <w:t>7</w:t>
      </w:r>
      <w:r>
        <w:rPr>
          <w:rFonts w:hint="eastAsia" w:ascii="宋体" w:hAnsi="宋体" w:cs="Arial"/>
          <w:color w:val="000000"/>
          <w:kern w:val="0"/>
          <w:sz w:val="32"/>
          <w:szCs w:val="32"/>
        </w:rPr>
        <w:t>个，分别是校长室，党支部、办公室、教导处、德育处、后勤处、工会。在编在岗实有人数为</w:t>
      </w:r>
      <w:r>
        <w:rPr>
          <w:rFonts w:hint="eastAsia" w:ascii="宋体" w:hAnsi="宋体" w:cs="Arial"/>
          <w:color w:val="000000"/>
          <w:kern w:val="0"/>
          <w:sz w:val="32"/>
          <w:szCs w:val="32"/>
          <w:lang w:val="en-US" w:eastAsia="zh-CN"/>
        </w:rPr>
        <w:t>29</w:t>
      </w:r>
      <w:r>
        <w:rPr>
          <w:rFonts w:hint="eastAsia" w:ascii="宋体" w:hAnsi="宋体" w:cs="Arial"/>
          <w:color w:val="000000"/>
          <w:kern w:val="0"/>
          <w:sz w:val="32"/>
          <w:szCs w:val="32"/>
        </w:rPr>
        <w:t>人，退休人员为</w:t>
      </w:r>
      <w:r>
        <w:rPr>
          <w:rFonts w:ascii="宋体" w:hAnsi="宋体" w:cs="Arial"/>
          <w:color w:val="000000"/>
          <w:kern w:val="0"/>
          <w:sz w:val="32"/>
          <w:szCs w:val="32"/>
        </w:rPr>
        <w:t xml:space="preserve"> 1</w:t>
      </w:r>
      <w:r>
        <w:rPr>
          <w:rFonts w:hint="eastAsia" w:ascii="宋体" w:hAnsi="宋体" w:cs="Arial"/>
          <w:color w:val="000000"/>
          <w:kern w:val="0"/>
          <w:sz w:val="32"/>
          <w:szCs w:val="32"/>
          <w:lang w:val="en-US" w:eastAsia="zh-CN"/>
        </w:rPr>
        <w:t>08</w:t>
      </w:r>
      <w:r>
        <w:rPr>
          <w:rFonts w:hint="eastAsia" w:ascii="宋体" w:hAnsi="宋体" w:cs="Arial"/>
          <w:color w:val="000000"/>
          <w:kern w:val="0"/>
          <w:sz w:val="32"/>
          <w:szCs w:val="32"/>
        </w:rPr>
        <w:t>人。</w:t>
      </w:r>
    </w:p>
    <w:p w14:paraId="3D9EF3E2">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38F8B787">
      <w:pPr>
        <w:ind w:firstLine="960" w:firstLineChars="300"/>
        <w:jc w:val="left"/>
        <w:rPr>
          <w:rFonts w:ascii="仿宋_GB2312" w:eastAsia="仿宋_GB2312" w:hAnsiTheme="minorEastAsia"/>
          <w:sz w:val="28"/>
          <w:szCs w:val="32"/>
        </w:rPr>
      </w:pPr>
      <w:r>
        <w:rPr>
          <w:rFonts w:hint="eastAsia" w:cs="Arial"/>
          <w:color w:val="000000"/>
          <w:sz w:val="32"/>
          <w:szCs w:val="32"/>
        </w:rPr>
        <w:t>纳入</w:t>
      </w:r>
      <w:r>
        <w:rPr>
          <w:rFonts w:cs="Arial"/>
          <w:color w:val="000000"/>
          <w:sz w:val="32"/>
          <w:szCs w:val="32"/>
        </w:rPr>
        <w:t>202</w:t>
      </w:r>
      <w:r>
        <w:rPr>
          <w:rFonts w:hint="eastAsia" w:cs="Arial"/>
          <w:color w:val="000000"/>
          <w:sz w:val="32"/>
          <w:szCs w:val="32"/>
          <w:lang w:val="en-US" w:eastAsia="zh-CN"/>
        </w:rPr>
        <w:t>4</w:t>
      </w:r>
      <w:r>
        <w:rPr>
          <w:rFonts w:hint="eastAsia" w:cs="Arial"/>
          <w:color w:val="000000"/>
          <w:sz w:val="32"/>
          <w:szCs w:val="32"/>
        </w:rPr>
        <w:t>年部门决算编制范围的二级预算单位。</w:t>
      </w:r>
      <w:r>
        <w:rPr>
          <w:rFonts w:hint="eastAsia" w:ascii="宋体" w:hAnsi="宋体"/>
          <w:i/>
          <w:iCs/>
          <w:color w:val="FF0000"/>
          <w:sz w:val="32"/>
          <w:szCs w:val="24"/>
          <w:highlight w:val="white"/>
        </w:rPr>
        <w:t>。</w:t>
      </w:r>
    </w:p>
    <w:p w14:paraId="38152785"/>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0416550A"/>
    <w:p w14:paraId="28B49BCE">
      <w:pPr>
        <w:pStyle w:val="2"/>
      </w:pPr>
    </w:p>
    <w:p w14:paraId="43291855">
      <w:pPr>
        <w:pStyle w:val="3"/>
      </w:pPr>
    </w:p>
    <w:p w14:paraId="7CD92489"/>
    <w:p w14:paraId="5267F12B">
      <w:pPr>
        <w:pStyle w:val="2"/>
      </w:pPr>
    </w:p>
    <w:p w14:paraId="28828498">
      <w:pPr>
        <w:pStyle w:val="3"/>
      </w:pPr>
    </w:p>
    <w:p w14:paraId="04E62672"/>
    <w:p w14:paraId="1D6D7A8B">
      <w:pPr>
        <w:pStyle w:val="2"/>
      </w:pPr>
    </w:p>
    <w:p w14:paraId="2E47952B">
      <w:pPr>
        <w:pStyle w:val="3"/>
      </w:pPr>
    </w:p>
    <w:p w14:paraId="18A19BE5"/>
    <w:p w14:paraId="7CCBF86D">
      <w:pPr>
        <w:pStyle w:val="2"/>
      </w:pPr>
    </w:p>
    <w:p w14:paraId="0017F5EC">
      <w:pPr>
        <w:pStyle w:val="3"/>
      </w:pPr>
    </w:p>
    <w:p w14:paraId="76181D4E"/>
    <w:p w14:paraId="1A174866">
      <w:pPr>
        <w:pStyle w:val="13"/>
        <w:jc w:val="center"/>
        <w:rPr>
          <w:rFonts w:hint="eastAsia" w:ascii="方正小标宋_GBK" w:hAnsi="方正小标宋_GBK" w:eastAsia="方正小标宋_GBK" w:cs="方正小标宋_GBK"/>
          <w:sz w:val="84"/>
          <w:szCs w:val="84"/>
        </w:rPr>
      </w:pPr>
    </w:p>
    <w:p w14:paraId="2B49F2B7">
      <w:pPr>
        <w:pStyle w:val="13"/>
        <w:jc w:val="center"/>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84"/>
          <w:szCs w:val="84"/>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5837A3AC">
      <w:pPr>
        <w:pStyle w:val="13"/>
        <w:jc w:val="center"/>
        <w:rPr>
          <w:rFonts w:hint="eastAsia" w:ascii="仿宋_GB2312" w:hAnsi="仿宋_GB2312" w:eastAsia="仿宋_GB2312" w:cs="仿宋_GB2312"/>
          <w:b w:val="0"/>
          <w:bCs w:val="0"/>
          <w:sz w:val="72"/>
          <w:szCs w:val="72"/>
          <w:lang w:eastAsia="zh-CN"/>
        </w:rPr>
      </w:pPr>
    </w:p>
    <w:p w14:paraId="2CE4C05E">
      <w:pPr>
        <w:pStyle w:val="13"/>
        <w:jc w:val="center"/>
        <w:rPr>
          <w:rFonts w:hint="eastAsia" w:ascii="仿宋_GB2312" w:hAnsi="仿宋_GB2312" w:eastAsia="仿宋_GB2312" w:cs="仿宋_GB2312"/>
          <w:b w:val="0"/>
          <w:bCs w:val="0"/>
          <w:sz w:val="72"/>
          <w:szCs w:val="72"/>
          <w:lang w:eastAsia="zh-CN"/>
        </w:rPr>
      </w:pPr>
    </w:p>
    <w:p w14:paraId="329B7868">
      <w:pPr>
        <w:pStyle w:val="13"/>
        <w:jc w:val="center"/>
        <w:rPr>
          <w:rFonts w:hint="eastAsia" w:ascii="仿宋_GB2312" w:hAnsi="仿宋_GB2312" w:eastAsia="仿宋_GB2312" w:cs="仿宋_GB2312"/>
          <w:b w:val="0"/>
          <w:bCs w:val="0"/>
          <w:sz w:val="72"/>
          <w:szCs w:val="72"/>
          <w:lang w:eastAsia="zh-CN"/>
        </w:rPr>
      </w:pPr>
    </w:p>
    <w:p w14:paraId="49CC69EF">
      <w:pPr>
        <w:pStyle w:val="13"/>
        <w:jc w:val="center"/>
        <w:rPr>
          <w:rFonts w:hint="eastAsia" w:ascii="仿宋_GB2312" w:hAnsi="仿宋_GB2312" w:eastAsia="仿宋_GB2312" w:cs="仿宋_GB2312"/>
          <w:b w:val="0"/>
          <w:bCs w:val="0"/>
          <w:sz w:val="72"/>
          <w:szCs w:val="72"/>
          <w:lang w:eastAsia="zh-CN"/>
        </w:rPr>
      </w:pPr>
    </w:p>
    <w:p w14:paraId="6AF0E064">
      <w:pPr>
        <w:pStyle w:val="13"/>
        <w:jc w:val="center"/>
        <w:rPr>
          <w:rFonts w:hint="eastAsia" w:ascii="仿宋_GB2312" w:hAnsi="仿宋_GB2312" w:eastAsia="仿宋_GB2312" w:cs="仿宋_GB2312"/>
          <w:b w:val="0"/>
          <w:bCs w:val="0"/>
          <w:sz w:val="72"/>
          <w:szCs w:val="72"/>
          <w:lang w:eastAsia="zh-CN"/>
        </w:rPr>
      </w:pPr>
    </w:p>
    <w:p w14:paraId="2726F05F">
      <w:pPr>
        <w:pStyle w:val="13"/>
        <w:jc w:val="center"/>
        <w:rPr>
          <w:rFonts w:hint="eastAsia" w:ascii="仿宋_GB2312" w:hAnsi="仿宋_GB2312" w:eastAsia="仿宋_GB2312" w:cs="仿宋_GB2312"/>
          <w:b w:val="0"/>
          <w:bCs w:val="0"/>
          <w:sz w:val="72"/>
          <w:szCs w:val="72"/>
          <w:lang w:eastAsia="zh-CN"/>
        </w:rPr>
      </w:pPr>
    </w:p>
    <w:p w14:paraId="03B38D04">
      <w:pPr>
        <w:pStyle w:val="13"/>
        <w:jc w:val="center"/>
        <w:rPr>
          <w:rFonts w:hint="eastAsia" w:ascii="仿宋_GB2312" w:hAnsi="仿宋_GB2312" w:eastAsia="仿宋_GB2312" w:cs="仿宋_GB2312"/>
          <w:b w:val="0"/>
          <w:bCs w:val="0"/>
          <w:sz w:val="72"/>
          <w:szCs w:val="72"/>
          <w:lang w:eastAsia="zh-CN"/>
        </w:rPr>
      </w:pPr>
    </w:p>
    <w:p w14:paraId="325AF5B5">
      <w:pPr>
        <w:pStyle w:val="13"/>
        <w:jc w:val="center"/>
        <w:rPr>
          <w:rFonts w:hint="eastAsia" w:ascii="仿宋_GB2312" w:hAnsi="仿宋_GB2312" w:eastAsia="仿宋_GB2312" w:cs="仿宋_GB2312"/>
          <w:b w:val="0"/>
          <w:bCs w:val="0"/>
          <w:sz w:val="72"/>
          <w:szCs w:val="72"/>
          <w:lang w:eastAsia="zh-CN"/>
        </w:rPr>
      </w:pPr>
    </w:p>
    <w:p w14:paraId="0568D1B8">
      <w:pPr>
        <w:pStyle w:val="13"/>
        <w:jc w:val="center"/>
        <w:rPr>
          <w:rFonts w:hint="eastAsia" w:ascii="仿宋_GB2312" w:hAnsi="仿宋_GB2312" w:eastAsia="仿宋_GB2312" w:cs="仿宋_GB2312"/>
          <w:b w:val="0"/>
          <w:bCs w:val="0"/>
          <w:sz w:val="72"/>
          <w:szCs w:val="72"/>
          <w:lang w:eastAsia="zh-CN"/>
        </w:rPr>
      </w:pPr>
    </w:p>
    <w:p w14:paraId="66300506">
      <w:pPr>
        <w:pStyle w:val="13"/>
        <w:jc w:val="center"/>
        <w:rPr>
          <w:rFonts w:hint="eastAsia" w:ascii="方正小标宋_GBK" w:hAnsi="方正小标宋_GBK" w:eastAsia="方正小标宋_GBK" w:cs="方正小标宋_GBK"/>
          <w:sz w:val="72"/>
          <w:szCs w:val="72"/>
        </w:rPr>
      </w:pPr>
    </w:p>
    <w:p w14:paraId="7804FBA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70"/>
          <w:szCs w:val="70"/>
        </w:rPr>
      </w:pPr>
    </w:p>
    <w:p w14:paraId="4F77A5A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3"/>
        <w:jc w:val="center"/>
        <w:rPr>
          <w:rFonts w:hint="eastAsia" w:ascii="方正小标宋_GBK" w:hAnsi="方正小标宋_GBK" w:eastAsia="方正小标宋_GBK" w:cs="方正小标宋_GBK"/>
          <w:sz w:val="70"/>
          <w:szCs w:val="70"/>
        </w:rPr>
      </w:pPr>
    </w:p>
    <w:p w14:paraId="6EEC30AB">
      <w:pPr>
        <w:pStyle w:val="13"/>
        <w:jc w:val="center"/>
        <w:rPr>
          <w:rFonts w:hint="eastAsia" w:ascii="方正小标宋_GBK" w:hAnsi="方正小标宋_GBK" w:eastAsia="方正小标宋_GBK" w:cs="方正小标宋_GBK"/>
          <w:sz w:val="70"/>
          <w:szCs w:val="70"/>
        </w:rPr>
      </w:pPr>
    </w:p>
    <w:p w14:paraId="417367C1">
      <w:pPr>
        <w:pStyle w:val="13"/>
        <w:jc w:val="center"/>
        <w:rPr>
          <w:rFonts w:hint="eastAsia" w:ascii="方正小标宋_GBK" w:hAnsi="方正小标宋_GBK" w:eastAsia="方正小标宋_GBK" w:cs="方正小标宋_GBK"/>
          <w:sz w:val="70"/>
          <w:szCs w:val="70"/>
        </w:rPr>
      </w:pPr>
    </w:p>
    <w:p w14:paraId="5EF1049C">
      <w:pPr>
        <w:pStyle w:val="13"/>
        <w:jc w:val="center"/>
        <w:rPr>
          <w:rFonts w:hint="eastAsia" w:ascii="方正小标宋_GBK" w:hAnsi="方正小标宋_GBK" w:eastAsia="方正小标宋_GBK" w:cs="方正小标宋_GBK"/>
          <w:sz w:val="70"/>
          <w:szCs w:val="70"/>
        </w:rPr>
      </w:pPr>
    </w:p>
    <w:p w14:paraId="7E4B3CF9">
      <w:pPr>
        <w:pStyle w:val="13"/>
        <w:jc w:val="center"/>
        <w:rPr>
          <w:rFonts w:hint="eastAsia" w:ascii="方正小标宋_GBK" w:hAnsi="方正小标宋_GBK" w:eastAsia="方正小标宋_GBK" w:cs="方正小标宋_GBK"/>
          <w:sz w:val="70"/>
          <w:szCs w:val="70"/>
        </w:rPr>
      </w:pPr>
    </w:p>
    <w:p w14:paraId="514C0722">
      <w:pPr>
        <w:pStyle w:val="13"/>
        <w:jc w:val="center"/>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p>
    <w:p w14:paraId="6BC268D0">
      <w:pPr>
        <w:pStyle w:val="2"/>
        <w:rPr>
          <w:rFonts w:hint="eastAsia" w:ascii="仿宋_GB2312" w:hAnsi="仿宋_GB2312" w:eastAsia="仿宋_GB2312" w:cs="仿宋_GB2312"/>
          <w:sz w:val="32"/>
          <w:szCs w:val="32"/>
        </w:rPr>
      </w:pPr>
    </w:p>
    <w:p w14:paraId="018152B7">
      <w:pPr>
        <w:pStyle w:val="3"/>
        <w:rPr>
          <w:rFonts w:hint="eastAsia"/>
        </w:rPr>
      </w:pPr>
    </w:p>
    <w:p w14:paraId="2411C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EACF00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w:t>
      </w:r>
      <w:r>
        <w:rPr>
          <w:rFonts w:hint="eastAsia" w:ascii="Times New Roman" w:hAnsi="Times New Roman" w:eastAsia="仿宋_GB2312"/>
          <w:sz w:val="32"/>
          <w:szCs w:val="32"/>
          <w:lang w:val="en-US"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850.64</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226.57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21.03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维修工程项目减少,收入减少。</w:t>
      </w:r>
    </w:p>
    <w:p w14:paraId="0E0052D8">
      <w:pPr>
        <w:widowControl w:val="0"/>
        <w:autoSpaceDE w:val="0"/>
        <w:autoSpaceDN w:val="0"/>
        <w:adjustRightInd w:val="0"/>
        <w:ind w:firstLine="640" w:firstLineChars="200"/>
        <w:rPr>
          <w:rFonts w:hint="eastAsia" w:ascii="仿宋_GB2312" w:hAnsi="仿宋_GB2312" w:eastAsia="仿宋_GB2312" w:cs="仿宋_GB2312"/>
          <w:i/>
          <w:iCs/>
          <w:color w:val="000000"/>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w:t>
      </w:r>
      <w:r>
        <w:rPr>
          <w:rFonts w:hint="eastAsia" w:ascii="Times New Roman" w:hAnsi="Times New Roman" w:eastAsia="仿宋_GB2312"/>
          <w:sz w:val="32"/>
          <w:szCs w:val="32"/>
          <w:lang w:val="en-US" w:eastAsia="zh-CN"/>
        </w:rPr>
        <w:t>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850.64</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226.57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21.03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维修工程项目减少,支出减少。</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727BB7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850.64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814.31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95.73</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36.33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4.27</w:t>
      </w:r>
      <w:r>
        <w:rPr>
          <w:rFonts w:hint="eastAsia" w:ascii="Times New Roman" w:hAnsi="Times New Roman" w:eastAsia="仿宋_GB2312"/>
          <w:sz w:val="32"/>
          <w:szCs w:val="32"/>
        </w:rPr>
        <w:t>%。</w:t>
      </w: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06115A7">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850.64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467.92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55.01</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382.72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44.99</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24753E8">
      <w:pPr>
        <w:pStyle w:val="13"/>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val="en-US"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850.64</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226.57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21.03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维修工程项目减少,收入减少。</w:t>
      </w:r>
    </w:p>
    <w:p w14:paraId="0271CA4A">
      <w:pPr>
        <w:pStyle w:val="13"/>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w:t>
      </w:r>
      <w:r>
        <w:rPr>
          <w:rFonts w:hint="eastAsia" w:ascii="Times New Roman" w:hAnsi="Times New Roman" w:eastAsia="仿宋_GB2312"/>
          <w:sz w:val="32"/>
          <w:szCs w:val="32"/>
          <w:lang w:val="en-US" w:eastAsia="zh-CN"/>
        </w:rPr>
        <w:t>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850.64</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226.57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21.03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维修工程项目减少,支出减少。</w:t>
      </w: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AFD96E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814.31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97.76</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238.78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22.67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维修工程项目减少以及职工自然退休，各项保障成本支出降低。</w:t>
      </w:r>
    </w:p>
    <w:p w14:paraId="66C54C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814.31</w:t>
      </w:r>
      <w:r>
        <w:rPr>
          <w:rFonts w:hint="eastAsia" w:ascii="Times New Roman" w:hAnsi="Times New Roman" w:eastAsia="仿宋_GB2312"/>
          <w:sz w:val="32"/>
          <w:szCs w:val="32"/>
        </w:rPr>
        <w:t>万元，主要用于以下方面：教育（类）支出</w:t>
      </w:r>
      <w:r>
        <w:rPr>
          <w:rFonts w:hint="eastAsia" w:ascii="Times New Roman" w:hAnsi="Times New Roman" w:eastAsia="仿宋_GB2312"/>
          <w:sz w:val="32"/>
          <w:szCs w:val="32"/>
          <w:lang w:val="en-US" w:eastAsia="zh-CN"/>
        </w:rPr>
        <w:t>739.06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90.76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社会保障和住房补贴支出75.25万元，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9.24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CDBAD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67FCE1B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818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814.31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99.55</w:t>
      </w:r>
      <w:r>
        <w:rPr>
          <w:rFonts w:hint="eastAsia" w:ascii="Times New Roman" w:hAnsi="Times New Roman" w:eastAsia="仿宋_GB2312"/>
          <w:sz w:val="32"/>
          <w:szCs w:val="32"/>
        </w:rPr>
        <w:t>%，其中：</w:t>
      </w:r>
    </w:p>
    <w:p w14:paraId="6FEBEB5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1、一般公共服务卫生健康（类）行政事业单位医疗(款)公务员医疗补助（项）。</w:t>
      </w:r>
    </w:p>
    <w:p w14:paraId="14C87F0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highlight w:val="none"/>
          <w:lang w:val="en-US" w:eastAsia="zh-CN"/>
        </w:rPr>
        <w:t>年初预算数11万元，支出决算为10.21万元，完成年初预算的92.81%，</w:t>
      </w:r>
      <w:r>
        <w:rPr>
          <w:rFonts w:hint="eastAsia" w:ascii="Times New Roman" w:hAnsi="Times New Roman" w:eastAsia="仿宋_GB2312"/>
          <w:sz w:val="32"/>
          <w:szCs w:val="32"/>
          <w:lang w:val="en-US" w:eastAsia="zh-CN"/>
        </w:rPr>
        <w:t>决算数小于年初预算数的主要原因是：</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人员经费减少</w:t>
      </w:r>
      <w:r>
        <w:rPr>
          <w:rFonts w:hint="eastAsia" w:ascii="Times New Roman" w:hAnsi="Times New Roman" w:eastAsia="仿宋_GB2312"/>
          <w:sz w:val="32"/>
          <w:szCs w:val="32"/>
          <w:highlight w:val="none"/>
          <w:lang w:val="en-US" w:eastAsia="zh-CN"/>
        </w:rPr>
        <w:t>。</w:t>
      </w:r>
    </w:p>
    <w:p w14:paraId="4DB5446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2、一般公共服务卫生健康（类）行政事业单位医疗(款)其他行政事业单位医疗支出（项）。</w:t>
      </w:r>
    </w:p>
    <w:p w14:paraId="4699E1E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年初预算数23万元，支出决算为22.94万元，完成年初预算的99.74%，决算数小于年初预算数的主要原因是：</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人员经费减少</w:t>
      </w:r>
      <w:r>
        <w:rPr>
          <w:rFonts w:hint="eastAsia" w:ascii="Times New Roman" w:hAnsi="Times New Roman" w:eastAsia="仿宋_GB2312"/>
          <w:sz w:val="32"/>
          <w:szCs w:val="32"/>
          <w:lang w:val="en-US" w:eastAsia="zh-CN"/>
        </w:rPr>
        <w:t>。</w:t>
      </w:r>
    </w:p>
    <w:p w14:paraId="5BADF72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3、一般公共服务社会保障和就业（类）行政事业单位养老(款)机关事业单位基本养老（项）。</w:t>
      </w:r>
    </w:p>
    <w:p w14:paraId="1CE6008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年初预算数46.00万元，支出决算为45.68万元，完成年初预算的99.30%，决算数小于年初预算数的主要原因是：</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人员经费减少</w:t>
      </w:r>
      <w:r>
        <w:rPr>
          <w:rFonts w:hint="eastAsia" w:ascii="Times New Roman" w:hAnsi="Times New Roman" w:eastAsia="仿宋_GB2312"/>
          <w:sz w:val="32"/>
          <w:szCs w:val="32"/>
          <w:lang w:val="en-US" w:eastAsia="zh-CN"/>
        </w:rPr>
        <w:t>。</w:t>
      </w:r>
    </w:p>
    <w:p w14:paraId="2560172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4、一般公共服务住房保障（类）住房改革(款)住房公积金（项）。</w:t>
      </w:r>
    </w:p>
    <w:p w14:paraId="7C55C2F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年初预算数33万元，支出决算为32.73万元，完成年初预算的99.18%，决算数小于年初预算数的主要原因是：</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人员经费减少</w:t>
      </w:r>
      <w:r>
        <w:rPr>
          <w:rFonts w:hint="eastAsia" w:ascii="Times New Roman" w:hAnsi="Times New Roman" w:eastAsia="仿宋_GB2312"/>
          <w:sz w:val="32"/>
          <w:szCs w:val="32"/>
          <w:lang w:val="en-US" w:eastAsia="zh-CN"/>
        </w:rPr>
        <w:t>。</w:t>
      </w:r>
    </w:p>
    <w:p w14:paraId="2BDB9B9A">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5、教育支出（类）普通教育（款）小学教育(项)。</w:t>
      </w:r>
    </w:p>
    <w:p w14:paraId="18F957B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年初预算数463万元，支出决算为462.73万元，完成年初预算的99.94%，决算数小于年初预算数的主要原因是：厉行节约，缩小支出。</w:t>
      </w:r>
    </w:p>
    <w:p w14:paraId="4B57C53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6、教育支出（类）普通教育（款）学前教育(项)</w:t>
      </w:r>
    </w:p>
    <w:p w14:paraId="7E230B73">
      <w:pPr>
        <w:widowControl w:val="0"/>
        <w:autoSpaceDE w:val="0"/>
        <w:autoSpaceDN w:val="0"/>
        <w:adjustRightInd w:val="0"/>
        <w:ind w:firstLine="800" w:firstLineChars="250"/>
        <w:rPr>
          <w:rFonts w:hint="eastAsia" w:ascii="仿宋_GB2312" w:hAnsi="仿宋_GB2312" w:eastAsia="仿宋_GB2312" w:cs="仿宋_GB2312"/>
          <w:sz w:val="32"/>
          <w:szCs w:val="32"/>
        </w:rPr>
      </w:pPr>
      <w:r>
        <w:rPr>
          <w:rFonts w:hint="eastAsia" w:ascii="Times New Roman" w:hAnsi="Times New Roman" w:eastAsia="仿宋_GB2312"/>
          <w:sz w:val="32"/>
          <w:szCs w:val="32"/>
          <w:lang w:val="en-US" w:eastAsia="zh-CN"/>
        </w:rPr>
        <w:t>年初预算数242万元，学前教育支出240万元，完成年初预算的99.17%，决算数小于年初预算数的主要原因是：厉行节约，缩小支出。</w:t>
      </w:r>
    </w:p>
    <w:p w14:paraId="373E8B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FF6D6B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2024年度财政拨款基本支出431.59万元，其中：</w:t>
      </w:r>
    </w:p>
    <w:p w14:paraId="04E9E5B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人员经费417.29万元，占基本支出的96.69%,主要包括基本工资、津贴补贴、奖金、伙食补助费、机关事业单位基本养老保险缴费、职业年金缴费、职工基本医疗保险缴费、公务员医疗补助缴费、其他社会保障缴费、住房公积金、抚恤金、生活补助、助学金等。</w:t>
      </w:r>
    </w:p>
    <w:p w14:paraId="611518F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公用经费14.3万元，占基本支出的3.31%，主要包括办公费、印刷费、手续费、水费、电费、差旅费、维修（护）费、培训费、会议费、专用材料费、劳务费、工会经费。</w:t>
      </w:r>
    </w:p>
    <w:p w14:paraId="238B27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B96C244">
      <w:pPr>
        <w:pStyle w:val="13"/>
        <w:spacing w:line="600" w:lineRule="exact"/>
        <w:ind w:firstLine="800" w:firstLineChars="250"/>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2024年度政府性基金预算财政拨款收入0万元；年初结转和结余0万元；支出0万元，其中基本支出0万元，项目支出0万元；年末结转和结余0万元。</w:t>
      </w:r>
      <w:r>
        <w:rPr>
          <w:rFonts w:hint="eastAsia" w:ascii="Times New Roman" w:hAnsi="Times New Roman" w:eastAsia="仿宋_GB2312"/>
          <w:sz w:val="32"/>
          <w:szCs w:val="32"/>
        </w:rPr>
        <w:t xml:space="preserve">   </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765FCC5D">
      <w:pPr>
        <w:pStyle w:val="13"/>
        <w:keepNext w:val="0"/>
        <w:keepLines w:val="0"/>
        <w:pageBreakBefore w:val="0"/>
        <w:widowControl w:val="0"/>
        <w:numPr>
          <w:ilvl w:val="0"/>
          <w:numId w:val="0"/>
        </w:numPr>
        <w:kinsoku/>
        <w:wordWrap/>
        <w:overflowPunct/>
        <w:topLinePunct w:val="0"/>
        <w:bidi w:val="0"/>
        <w:snapToGrid/>
        <w:spacing w:line="600" w:lineRule="exact"/>
        <w:ind w:firstLine="320" w:firstLineChars="1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19EBD7E">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ascii="宋体" w:hAnsi="宋体" w:eastAsia="宋体"/>
          <w:color w:val="auto"/>
        </w:rPr>
      </w:pPr>
      <w:r>
        <w:rPr>
          <w:rFonts w:ascii="Times New Roman" w:hAnsi="Times New Roman" w:eastAsia="仿宋_GB2312" w:cs="Times New Roman"/>
          <w:sz w:val="32"/>
          <w:szCs w:val="32"/>
        </w:rPr>
        <w:t>2024年度“三公”经费财政拨款支出预算</w:t>
      </w:r>
      <w:r>
        <w:rPr>
          <w:rFonts w:hint="eastAsia" w:ascii="Times New Roman" w:hAnsi="Times New Roman" w:eastAsia="仿宋_GB2312"/>
          <w:sz w:val="32"/>
          <w:szCs w:val="32"/>
        </w:rPr>
        <w:t>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ascii="Times New Roman" w:hAnsi="Times New Roman" w:eastAsia="仿宋_GB2312"/>
          <w:sz w:val="32"/>
          <w:szCs w:val="32"/>
        </w:rPr>
        <w:t>0</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0.01</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val="en-US" w:eastAsia="zh-CN"/>
        </w:rPr>
        <w:t>厉行节约，缩小支出。</w:t>
      </w:r>
    </w:p>
    <w:p w14:paraId="15E85AE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CF083E8">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65978CA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07AF86A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1D42295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75A272CE">
      <w:pPr>
        <w:pStyle w:val="13"/>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4B35674B">
      <w:pPr>
        <w:numPr>
          <w:ilvl w:val="0"/>
          <w:numId w:val="2"/>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lang w:val="en-US" w:eastAsia="zh-CN"/>
        </w:rPr>
        <w:t>厉行节约，缩小支出。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人次，主要是</w:t>
      </w:r>
      <w:r>
        <w:rPr>
          <w:rFonts w:hint="eastAsia" w:ascii="Times New Roman" w:hAnsi="Times New Roman" w:eastAsia="仿宋_GB2312"/>
          <w:color w:val="auto"/>
          <w:sz w:val="32"/>
          <w:szCs w:val="32"/>
          <w:lang w:val="en-US" w:eastAsia="zh-CN"/>
        </w:rPr>
        <w:t>因考务</w:t>
      </w:r>
      <w:r>
        <w:rPr>
          <w:rFonts w:hint="eastAsia" w:ascii="Times New Roman" w:hAnsi="Times New Roman" w:eastAsia="仿宋_GB2312"/>
          <w:sz w:val="32"/>
          <w:szCs w:val="32"/>
        </w:rPr>
        <w:t>发生的接待支出。</w:t>
      </w: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56A3E5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本级和所属单位均为事业单位，按照机关运行经费的口径，本年度机关运行经费为0。</w:t>
      </w:r>
    </w:p>
    <w:p w14:paraId="39684E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39C2EAB5">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年度，本单位无会议费的预算和支出决算数；本单位无培训费的预算和支出决算数；本单位无举办节庆、晚会、论坛、赛事等活动的预算和支出决算数。</w:t>
      </w:r>
    </w:p>
    <w:p w14:paraId="072C8C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4F48296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部门2024年度政府采购支出总额0万元，其中：政府采购货物支出0万元、政府采购工程支出0万元、政府采购服务支出0万元。授予中小企业合同金额0万元（由于政府采购支出总额为0，故无法计算占政府采购支出总额的比重），其中：授予小微企业合同金额0万元（由于授予中小企业合同金额为0，故无法计算占授予中小企业合同金额的比重）。货物采购授予中小企业合同金额占货物支出金额的比重，工程采购授予中小企业合同金额占工程支出金额的比重，服务采购授予中小企业合同金额占服务支出金额的比重，由于以上各项合同金额为0，故无法计算各项占比。</w:t>
      </w:r>
    </w:p>
    <w:p w14:paraId="085B520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16AEBDFD">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ascii="Times New Roman" w:hAnsi="Times New Roman" w:eastAsia="仿宋_GB2312"/>
          <w:sz w:val="32"/>
          <w:szCs w:val="32"/>
        </w:rPr>
        <w:t>0</w:t>
      </w:r>
      <w:r>
        <w:rPr>
          <w:rFonts w:hint="eastAsia" w:ascii="Times New Roman" w:hAnsi="Times New Roman" w:eastAsia="仿宋_GB2312"/>
          <w:sz w:val="32"/>
          <w:szCs w:val="32"/>
        </w:rPr>
        <w:t>辆，其中，主要领导干部用车</w:t>
      </w:r>
      <w:r>
        <w:rPr>
          <w:rFonts w:ascii="Times New Roman" w:hAnsi="Times New Roman" w:eastAsia="仿宋_GB2312"/>
          <w:sz w:val="32"/>
          <w:szCs w:val="32"/>
        </w:rPr>
        <w:t>0</w:t>
      </w:r>
      <w:r>
        <w:rPr>
          <w:rFonts w:hint="eastAsia" w:ascii="Times New Roman" w:hAnsi="Times New Roman" w:eastAsia="仿宋_GB2312"/>
          <w:sz w:val="32"/>
          <w:szCs w:val="32"/>
        </w:rPr>
        <w:t>辆，机要通信用车</w:t>
      </w:r>
      <w:r>
        <w:rPr>
          <w:rFonts w:ascii="Times New Roman" w:hAnsi="Times New Roman" w:eastAsia="仿宋_GB2312"/>
          <w:sz w:val="32"/>
          <w:szCs w:val="32"/>
        </w:rPr>
        <w:t>0</w:t>
      </w:r>
      <w:r>
        <w:rPr>
          <w:rFonts w:hint="eastAsia" w:ascii="Times New Roman" w:hAnsi="Times New Roman" w:eastAsia="仿宋_GB2312"/>
          <w:sz w:val="32"/>
          <w:szCs w:val="32"/>
        </w:rPr>
        <w:t>辆、应急保障用车</w:t>
      </w:r>
      <w:r>
        <w:rPr>
          <w:rFonts w:ascii="Times New Roman" w:hAnsi="Times New Roman" w:eastAsia="仿宋_GB2312"/>
          <w:sz w:val="32"/>
          <w:szCs w:val="32"/>
        </w:rPr>
        <w:t>0</w:t>
      </w:r>
      <w:r>
        <w:rPr>
          <w:rFonts w:hint="eastAsia" w:ascii="Times New Roman" w:hAnsi="Times New Roman" w:eastAsia="仿宋_GB2312"/>
          <w:sz w:val="32"/>
          <w:szCs w:val="32"/>
        </w:rPr>
        <w:t>辆、执法执勤用车</w:t>
      </w:r>
      <w:r>
        <w:rPr>
          <w:rFonts w:ascii="Times New Roman" w:hAnsi="Times New Roman" w:eastAsia="仿宋_GB2312"/>
          <w:sz w:val="32"/>
          <w:szCs w:val="32"/>
        </w:rPr>
        <w:t>0</w:t>
      </w:r>
      <w:r>
        <w:rPr>
          <w:rFonts w:hint="eastAsia" w:ascii="Times New Roman" w:hAnsi="Times New Roman" w:eastAsia="仿宋_GB2312"/>
          <w:sz w:val="32"/>
          <w:szCs w:val="32"/>
        </w:rPr>
        <w:t>辆、特种专业技术用车</w:t>
      </w:r>
      <w:r>
        <w:rPr>
          <w:rFonts w:ascii="Times New Roman" w:hAnsi="Times New Roman" w:eastAsia="仿宋_GB2312"/>
          <w:sz w:val="32"/>
          <w:szCs w:val="32"/>
        </w:rPr>
        <w:t>0</w:t>
      </w:r>
      <w:r>
        <w:rPr>
          <w:rFonts w:hint="eastAsia" w:ascii="Times New Roman" w:hAnsi="Times New Roman" w:eastAsia="仿宋_GB2312"/>
          <w:sz w:val="32"/>
          <w:szCs w:val="32"/>
        </w:rPr>
        <w:t>辆、其他用车</w:t>
      </w:r>
      <w:r>
        <w:rPr>
          <w:rFonts w:ascii="Times New Roman" w:hAnsi="Times New Roman" w:eastAsia="仿宋_GB2312"/>
          <w:sz w:val="32"/>
          <w:szCs w:val="32"/>
        </w:rPr>
        <w:t>0</w:t>
      </w:r>
      <w:r>
        <w:rPr>
          <w:rFonts w:hint="eastAsia" w:ascii="Times New Roman" w:hAnsi="Times New Roman" w:eastAsia="仿宋_GB2312"/>
          <w:sz w:val="32"/>
          <w:szCs w:val="32"/>
        </w:rPr>
        <w:t>辆；单位价值50万元以上通用设备</w:t>
      </w:r>
      <w:r>
        <w:rPr>
          <w:rFonts w:ascii="Times New Roman" w:hAnsi="Times New Roman" w:eastAsia="仿宋_GB2312"/>
          <w:sz w:val="32"/>
          <w:szCs w:val="32"/>
        </w:rPr>
        <w:t>0</w:t>
      </w:r>
      <w:r>
        <w:rPr>
          <w:rFonts w:hint="eastAsia" w:ascii="Times New Roman" w:hAnsi="Times New Roman" w:eastAsia="仿宋_GB2312"/>
          <w:sz w:val="32"/>
          <w:szCs w:val="32"/>
        </w:rPr>
        <w:t>台（套）；单位价值100万元以上专用设备</w:t>
      </w:r>
      <w:r>
        <w:rPr>
          <w:rFonts w:ascii="Times New Roman" w:hAnsi="Times New Roman" w:eastAsia="仿宋_GB2312"/>
          <w:sz w:val="32"/>
          <w:szCs w:val="32"/>
        </w:rPr>
        <w:t>0</w:t>
      </w:r>
      <w:r>
        <w:rPr>
          <w:rFonts w:hint="eastAsia" w:ascii="Times New Roman" w:hAnsi="Times New Roman" w:eastAsia="仿宋_GB2312"/>
          <w:sz w:val="32"/>
          <w:szCs w:val="32"/>
        </w:rPr>
        <w:t>台（套）。</w:t>
      </w:r>
    </w:p>
    <w:p w14:paraId="3E0090A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B5EE62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45656D32">
      <w:pPr>
        <w:autoSpaceDN w:val="0"/>
        <w:spacing w:line="360" w:lineRule="auto"/>
        <w:ind w:firstLine="800" w:firstLineChars="250"/>
        <w:textAlignment w:val="center"/>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预算绩效评估：2024年度我校努力做好财政预算收入、支出以及各项目的管理工作，将预算及时公开到相关的信息网络平台，对预算的资金进行全方位的监督和管理，使每一笔资金都能起到最大的使用效益。结合我校实际将支出进行合理化分配，以达到合理高效地运用资金、提升资金的产出效果、节约成本与资源、提高部门的办事效率的目的。在部门预算整体支出绩效方面都按照规定严格执行，合理安排支出，使财政资金发挥出最大的效益。</w:t>
      </w:r>
    </w:p>
    <w:p w14:paraId="6E14AAB7">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38E72565">
      <w:pPr>
        <w:autoSpaceDN w:val="0"/>
        <w:spacing w:line="360" w:lineRule="auto"/>
        <w:ind w:firstLine="800" w:firstLineChars="250"/>
        <w:textAlignment w:val="center"/>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1、存在的问题： 由于全区学校财务人员没有专职设置，对财务知识学习学习培训程度不够，导致对决算编制口径理解不足。在部门预算编制、部门决算编制软件操作中存在一些困难。</w:t>
      </w:r>
    </w:p>
    <w:p w14:paraId="402588C7">
      <w:pPr>
        <w:autoSpaceDN w:val="0"/>
        <w:spacing w:line="360" w:lineRule="auto"/>
        <w:ind w:firstLine="800" w:firstLineChars="250"/>
        <w:textAlignment w:val="center"/>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建议：加强政策学习，提高思想认识。提高单位领导及财务人员的财政政策意识，坚持先有预算、后有支付，没有预算就不得支出。年度预算编制后，根据实际情况，定期做好预算执行分析，掌握预算执行进度，及时找出预算实际执行情况与预算目标之间的差距。</w:t>
      </w:r>
    </w:p>
    <w:p w14:paraId="2BBB1D36">
      <w:pPr>
        <w:autoSpaceDN w:val="0"/>
        <w:spacing w:line="360" w:lineRule="auto"/>
        <w:ind w:firstLine="800" w:firstLineChars="250"/>
        <w:textAlignment w:val="center"/>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建议：教育行政主管部门和财政部门应高度重视学校财务人员的专业技能培训，注重培训学校财务人员的实际操作能力，教育主管部门应定期组织财务培训，提升学校财务人员的财务专业技能，使学校这批财务人员（报账员），在没有配置专职人员时，虽然没有专业资质，但在实际操作中，确实能够熟练操作技能，较好的完成学校各项财务工作。</w:t>
      </w:r>
    </w:p>
    <w:p w14:paraId="3A01B6B0">
      <w:pPr>
        <w:pStyle w:val="13"/>
        <w:jc w:val="center"/>
        <w:rPr>
          <w:rFonts w:hint="eastAsia" w:ascii="方正小标宋_GBK" w:hAnsi="方正小标宋_GBK" w:eastAsia="方正小标宋_GBK" w:cs="方正小标宋_GBK"/>
          <w:sz w:val="72"/>
          <w:szCs w:val="72"/>
        </w:rPr>
      </w:pPr>
    </w:p>
    <w:p w14:paraId="475C1000">
      <w:pPr>
        <w:pStyle w:val="13"/>
        <w:jc w:val="center"/>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5331F884">
      <w:pPr>
        <w:pStyle w:val="3"/>
      </w:pPr>
    </w:p>
    <w:p w14:paraId="2CCAD852"/>
    <w:p w14:paraId="440E89DF">
      <w:pPr>
        <w:pStyle w:val="2"/>
      </w:pPr>
    </w:p>
    <w:p w14:paraId="645B9B76">
      <w:pPr>
        <w:pStyle w:val="3"/>
      </w:pPr>
    </w:p>
    <w:p w14:paraId="539F25AC"/>
    <w:p w14:paraId="47AFAB8F">
      <w:pPr>
        <w:pStyle w:val="2"/>
      </w:pPr>
    </w:p>
    <w:p w14:paraId="479D6353">
      <w:pPr>
        <w:pStyle w:val="3"/>
      </w:pPr>
    </w:p>
    <w:p w14:paraId="648103ED"/>
    <w:p w14:paraId="08A5EA8F">
      <w:pPr>
        <w:pStyle w:val="2"/>
      </w:pPr>
    </w:p>
    <w:p w14:paraId="3FD0BAB6">
      <w:pPr>
        <w:pStyle w:val="3"/>
      </w:pPr>
    </w:p>
    <w:p w14:paraId="1CAE18D7"/>
    <w:p w14:paraId="5994BDDC">
      <w:pPr>
        <w:pStyle w:val="2"/>
      </w:pPr>
    </w:p>
    <w:p w14:paraId="51F60F8D">
      <w:pPr>
        <w:pStyle w:val="3"/>
      </w:pPr>
    </w:p>
    <w:p w14:paraId="715B8195"/>
    <w:p w14:paraId="3F608935">
      <w:pPr>
        <w:pStyle w:val="2"/>
      </w:pPr>
    </w:p>
    <w:p w14:paraId="274FE3C9">
      <w:pPr>
        <w:ind w:firstLine="640" w:firstLineChars="200"/>
        <w:jc w:val="left"/>
        <w:rPr>
          <w:rFonts w:hint="eastAsia" w:ascii="仿宋_GB2312" w:hAnsi="仿宋_GB2312" w:eastAsia="仿宋_GB2312" w:cs="仿宋_GB2312"/>
          <w:color w:val="000000"/>
          <w:kern w:val="0"/>
          <w:sz w:val="32"/>
          <w:szCs w:val="32"/>
        </w:rPr>
      </w:pPr>
    </w:p>
    <w:p w14:paraId="511817AB">
      <w:pPr>
        <w:ind w:firstLine="640" w:firstLineChars="200"/>
        <w:jc w:val="left"/>
        <w:rPr>
          <w:rFonts w:ascii="宋体" w:cs="宋体"/>
          <w:color w:val="000000"/>
          <w:kern w:val="0"/>
          <w:sz w:val="32"/>
          <w:szCs w:val="32"/>
        </w:rPr>
      </w:pPr>
      <w:bookmarkStart w:id="0" w:name="_GoBack"/>
      <w:bookmarkEnd w:id="0"/>
      <w:r>
        <w:rPr>
          <w:rFonts w:hint="eastAsia" w:ascii="宋体" w:hAnsi="宋体" w:cs="宋体"/>
          <w:color w:val="000000"/>
          <w:kern w:val="0"/>
          <w:sz w:val="32"/>
          <w:szCs w:val="32"/>
        </w:rPr>
        <w:t>一、财政拨款收入：指本级财政当年拨付的资金。</w:t>
      </w:r>
    </w:p>
    <w:p w14:paraId="3C59432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二、事业收入：指事业单位开展专业业务活动及辅助活动所取得的收入。</w:t>
      </w:r>
    </w:p>
    <w:p w14:paraId="40C05FFC">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三、其他收入：指除上述“财政拨款收入”、“上级补助收入”、“事业收入”、“经营收入”、“附属单位上缴收入”等以外的收入。</w:t>
      </w:r>
    </w:p>
    <w:p w14:paraId="033CB21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四、上年结转和结余：指以前年度尚未完成、结转到本年按有关规定继续使用的资金。</w:t>
      </w:r>
    </w:p>
    <w:p w14:paraId="2B10FE8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五、年末结转和结余资金：指本年度或以前年度预算安排、因客观条件发生变化无法按原计划实施，需要延迟到以后年度按有关规定继续使用的资金。</w:t>
      </w:r>
    </w:p>
    <w:p w14:paraId="0B7CE7DB">
      <w:pPr>
        <w:ind w:firstLine="640" w:firstLineChars="200"/>
        <w:jc w:val="left"/>
        <w:rPr>
          <w:rFonts w:hint="eastAsia" w:ascii="宋体" w:cs="宋体" w:eastAsiaTheme="minorEastAsia"/>
          <w:color w:val="000000"/>
          <w:kern w:val="0"/>
          <w:sz w:val="32"/>
          <w:szCs w:val="32"/>
          <w:lang w:eastAsia="zh-CN"/>
        </w:rPr>
      </w:pPr>
      <w:r>
        <w:rPr>
          <w:rFonts w:hint="eastAsia" w:ascii="宋体" w:hAnsi="宋体" w:cs="宋体"/>
          <w:color w:val="000000"/>
          <w:kern w:val="0"/>
          <w:sz w:val="32"/>
          <w:szCs w:val="32"/>
        </w:rPr>
        <w:t>六、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hint="eastAsia" w:ascii="宋体" w:hAnsi="宋体" w:cs="宋体"/>
          <w:color w:val="000000"/>
          <w:kern w:val="0"/>
          <w:sz w:val="32"/>
          <w:szCs w:val="32"/>
          <w:lang w:eastAsia="zh-CN"/>
        </w:rPr>
        <w:t>。</w:t>
      </w:r>
    </w:p>
    <w:p w14:paraId="67876C74">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七、教育支出（类）：是指用于政府教育事务支出，包括保障机构正常运转、完成日常和特定的工作任务或事业发展目标的支出。</w:t>
      </w:r>
    </w:p>
    <w:p w14:paraId="0666491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八、科学技术支出（类）：是指用于科学技术方面的支出，包括保障机构正常运转、完成日常和特定的工作任务或事业发展目标的支出。</w:t>
      </w:r>
    </w:p>
    <w:p w14:paraId="2A7A0AA8">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九、文化体育与传媒支出（类）：是指用于文化、文物、体育、新闻出版广播影视等方面的支出，包括保障机构正常运转、完成日常和特定的工作任务或事业发展目标的支出。</w:t>
      </w:r>
    </w:p>
    <w:p w14:paraId="0D5ECEC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2921BBFE">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十一、医疗卫生与计划生育支出（类）：是指用于医疗卫生与计划生育方面的支出，包括保障机构正常运转、完成日常和特定的工作任务或事业发展目标的支出。</w:t>
      </w:r>
    </w:p>
    <w:p w14:paraId="2DB2DC0E">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十二、城乡社区支出（类）：是指用于城乡社区事务支出，包括保障机构正常运转、完成日常和特定的工作任务或事业发展目标的支出。</w:t>
      </w:r>
    </w:p>
    <w:p w14:paraId="052D3660">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十三、住房保障支出（类）：是指用于住房方面的支出，包括保障机构正常运转、完成日常和特定的工作任务或事业发展目标的支出。</w:t>
      </w:r>
    </w:p>
    <w:p w14:paraId="2221597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十四、基本支出：指保障机构正常运转、完成支日常工作任务而发生的人员支出和公用支出。</w:t>
      </w:r>
    </w:p>
    <w:p w14:paraId="753493E8">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十五、项目支出：指在基本支出之外为完成特定行政任务和事业发展目标所发生的支出。</w:t>
      </w:r>
    </w:p>
    <w:p w14:paraId="799415FB">
      <w:pPr>
        <w:ind w:firstLine="640" w:firstLineChars="200"/>
        <w:jc w:val="left"/>
        <w:rPr>
          <w:rFonts w:hint="eastAsia" w:ascii="宋体" w:cs="宋体" w:eastAsiaTheme="minorEastAsia"/>
          <w:color w:val="000000"/>
          <w:kern w:val="0"/>
          <w:sz w:val="32"/>
          <w:szCs w:val="32"/>
          <w:lang w:eastAsia="zh-CN"/>
        </w:rPr>
      </w:pPr>
      <w:r>
        <w:rPr>
          <w:rFonts w:hint="eastAsia" w:ascii="宋体" w:hAnsi="宋体" w:cs="宋体"/>
          <w:color w:val="000000"/>
          <w:kern w:val="0"/>
          <w:sz w:val="32"/>
          <w:szCs w:val="32"/>
        </w:rPr>
        <w:t>十六、“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hint="eastAsia" w:ascii="宋体" w:hAnsi="宋体" w:cs="宋体"/>
          <w:color w:val="000000"/>
          <w:kern w:val="0"/>
          <w:sz w:val="32"/>
          <w:szCs w:val="32"/>
          <w:lang w:eastAsia="zh-CN"/>
        </w:rPr>
        <w:t>。</w:t>
      </w:r>
    </w:p>
    <w:p w14:paraId="2F5A477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七、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71D04C4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十八、工资福利支出：反映单位开支的在职职工和编制外长期聘用人员的各类劳动报酬，以及为上述人员缴纳的各项社会保险费等。</w:t>
      </w:r>
    </w:p>
    <w:p w14:paraId="31F61E30">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十九、基本工资：反映按规定发放的基本工资，包括公务员的职务工资、级别工资；机关工人的岗位工资、技术等级工资；事业单位工作人员的岗位工资、薪级工资；各类学校毕业生试用期</w:t>
      </w:r>
      <w:r>
        <w:rPr>
          <w:rFonts w:ascii="宋体" w:hAnsi="宋体" w:cs="宋体"/>
          <w:color w:val="000000"/>
          <w:kern w:val="0"/>
          <w:sz w:val="32"/>
          <w:szCs w:val="32"/>
        </w:rPr>
        <w:t>(</w:t>
      </w:r>
      <w:r>
        <w:rPr>
          <w:rFonts w:hint="eastAsia" w:ascii="宋体" w:hAnsi="宋体" w:cs="宋体"/>
          <w:color w:val="000000"/>
          <w:kern w:val="0"/>
          <w:sz w:val="32"/>
          <w:szCs w:val="32"/>
        </w:rPr>
        <w:t>见习期</w:t>
      </w:r>
      <w:r>
        <w:rPr>
          <w:rFonts w:ascii="宋体" w:hAnsi="宋体" w:cs="宋体"/>
          <w:color w:val="000000"/>
          <w:kern w:val="0"/>
          <w:sz w:val="32"/>
          <w:szCs w:val="32"/>
        </w:rPr>
        <w:t>)</w:t>
      </w:r>
      <w:r>
        <w:rPr>
          <w:rFonts w:hint="eastAsia" w:ascii="宋体" w:hAnsi="宋体" w:cs="宋体"/>
          <w:color w:val="000000"/>
          <w:kern w:val="0"/>
          <w:sz w:val="32"/>
          <w:szCs w:val="32"/>
        </w:rPr>
        <w:t>工资、新参加工作工人学徒期、熟练期工资；军队（武警）军官、文职干部的职务（专业技术等级</w:t>
      </w:r>
    </w:p>
    <w:p w14:paraId="3B5736BE">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二十、津贴补贴：反映经国家批准建立的机关事业单位艰苦边远地区津贴、机关工作人员地区附加津贴、机关工作人员岗位津贴、事业单位工作人员特殊岗位津贴补贴等。</w:t>
      </w:r>
    </w:p>
    <w:p w14:paraId="37D1ABB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二十一、奖金：反映机关工作人员年终一次性奖金。</w:t>
      </w:r>
    </w:p>
    <w:p w14:paraId="7D9FC854">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二十二、其他社会保障缴费：反映单位为职工缴纳的基本医疗、失业、工伤、生育等社会保险费，残疾人就业保障金，军队（含武警）为军人缴纳的伤亡、退役医疗等社会保险费。</w:t>
      </w:r>
    </w:p>
    <w:p w14:paraId="48ED44EA">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二十三、伙食补助费：反映单位发给职工的伙食补助费，如误餐补助等。</w:t>
      </w:r>
    </w:p>
    <w:p w14:paraId="7D03C9D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二十四、绩效工资：反映事业单位工作人员的绩效工资。</w:t>
      </w:r>
    </w:p>
    <w:p w14:paraId="0AD9E15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二十五、机关事业单位基本养老保险缴费：反映机关事业单位缴纳的基本养老保险费。由单位代扣的工作人员基本养老保险缴费，不在此科目反映。</w:t>
      </w:r>
    </w:p>
    <w:p w14:paraId="6031254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二十六、职业年金缴费：反映机关事业单位实际缴纳的职业年金支出。由单位代扣的工作人员职业年金缴费，不在此科目反映。</w:t>
      </w:r>
    </w:p>
    <w:p w14:paraId="025AF32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七、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7EFE1373">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二十八、商品和服务支出：反映单位购买商品和服务的支出（不包括用于购置固定资产的支出、战略性和应急储备支出）。</w:t>
      </w:r>
    </w:p>
    <w:p w14:paraId="23143F70">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二十九、办公费：反映单位购买按财务会计制度规定不符合固定资产确认标准的日常办公用品、书报杂志等支出。</w:t>
      </w:r>
    </w:p>
    <w:p w14:paraId="6DC2C8B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三十、印刷费：反映单位的印刷费支出。</w:t>
      </w:r>
    </w:p>
    <w:p w14:paraId="2AF69EF8">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三十一、咨询费：反映单位咨询方面的支出。</w:t>
      </w:r>
    </w:p>
    <w:p w14:paraId="05E6443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三十二、手续费：反映单位支付的各类手续费支出。</w:t>
      </w:r>
    </w:p>
    <w:p w14:paraId="3375BE4D">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三十三、水费：反映单位支付的水费、污水处理费等支出。</w:t>
      </w:r>
    </w:p>
    <w:p w14:paraId="7E673D0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三十四、电费：反映单位的电费支出。</w:t>
      </w:r>
    </w:p>
    <w:p w14:paraId="21E3D16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三十五、邮电费：反映单位开支的信函、包裹、货物等物品的邮寄费及电话费、电报费、传真费、网络通讯费等。</w:t>
      </w:r>
    </w:p>
    <w:p w14:paraId="0E95FBA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三十六、物业管理费：反映单位开支的办公用房以及未实行职工住宅物业服务改革的在职职工和离退休人员宿舍等的物业管理费，包括综合治理、绿化、卫生等方面的支出。</w:t>
      </w:r>
    </w:p>
    <w:p w14:paraId="455057A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三十七、差旅费：反映单位工作人员出差发生的城市间交通费、住宿费、伙食补贴费和市内交通费。</w:t>
      </w:r>
    </w:p>
    <w:p w14:paraId="5C7D863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三十八、因公出国（境）费用：反映单位公务出国</w:t>
      </w:r>
      <w:r>
        <w:rPr>
          <w:rFonts w:ascii="宋体" w:hAnsi="宋体" w:cs="宋体"/>
          <w:color w:val="000000"/>
          <w:kern w:val="0"/>
          <w:sz w:val="32"/>
          <w:szCs w:val="32"/>
        </w:rPr>
        <w:t>(</w:t>
      </w:r>
      <w:r>
        <w:rPr>
          <w:rFonts w:hint="eastAsia" w:ascii="宋体" w:hAnsi="宋体" w:cs="宋体"/>
          <w:color w:val="000000"/>
          <w:kern w:val="0"/>
          <w:sz w:val="32"/>
          <w:szCs w:val="32"/>
        </w:rPr>
        <w:t>境</w:t>
      </w:r>
      <w:r>
        <w:rPr>
          <w:rFonts w:ascii="宋体" w:hAnsi="宋体" w:cs="宋体"/>
          <w:color w:val="000000"/>
          <w:kern w:val="0"/>
          <w:sz w:val="32"/>
          <w:szCs w:val="32"/>
        </w:rPr>
        <w:t>)</w:t>
      </w:r>
      <w:r>
        <w:rPr>
          <w:rFonts w:hint="eastAsia" w:ascii="宋体" w:hAnsi="宋体" w:cs="宋体"/>
          <w:color w:val="000000"/>
          <w:kern w:val="0"/>
          <w:sz w:val="32"/>
          <w:szCs w:val="32"/>
        </w:rPr>
        <w:t>的住宿费、旅费、伙食补助费、杂费、培训费等支出。</w:t>
      </w:r>
    </w:p>
    <w:p w14:paraId="2197C6E9">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三十九、维修</w:t>
      </w:r>
      <w:r>
        <w:rPr>
          <w:rFonts w:ascii="宋体" w:hAnsi="宋体" w:cs="宋体"/>
          <w:color w:val="000000"/>
          <w:kern w:val="0"/>
          <w:sz w:val="32"/>
          <w:szCs w:val="32"/>
        </w:rPr>
        <w:t>(</w:t>
      </w:r>
      <w:r>
        <w:rPr>
          <w:rFonts w:hint="eastAsia" w:ascii="宋体" w:hAnsi="宋体" w:cs="宋体"/>
          <w:color w:val="000000"/>
          <w:kern w:val="0"/>
          <w:sz w:val="32"/>
          <w:szCs w:val="32"/>
        </w:rPr>
        <w:t>护</w:t>
      </w:r>
      <w:r>
        <w:rPr>
          <w:rFonts w:ascii="宋体" w:hAnsi="宋体" w:cs="宋体"/>
          <w:color w:val="000000"/>
          <w:kern w:val="0"/>
          <w:sz w:val="32"/>
          <w:szCs w:val="32"/>
        </w:rPr>
        <w:t>)</w:t>
      </w:r>
      <w:r>
        <w:rPr>
          <w:rFonts w:hint="eastAsia" w:ascii="宋体" w:hAnsi="宋体" w:cs="宋体"/>
          <w:color w:val="000000"/>
          <w:kern w:val="0"/>
          <w:sz w:val="32"/>
          <w:szCs w:val="32"/>
        </w:rPr>
        <w:t>费：反映单位日常开支的固定资产（不包括车船等交通工具）修理和维护费用，网络信息系统运行与维护费用，以及按规定提取的修购基金。</w:t>
      </w:r>
    </w:p>
    <w:p w14:paraId="4DB42508">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四十、租赁费：反映租赁办公用房、宿舍、专用通讯网以及其他设备等方面的费用。</w:t>
      </w:r>
    </w:p>
    <w:p w14:paraId="7F109DE0">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四十一、会议费：反映会议中按规定开支的住宿费、伙食费、会议室租金、交通费、文件印刷费、医药费等。</w:t>
      </w:r>
    </w:p>
    <w:p w14:paraId="1EF560D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四十二、培训费：反映除因公出国（境）培训费以外的各类培训支出。</w:t>
      </w:r>
    </w:p>
    <w:p w14:paraId="4BE5F4C9">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四十三、公务接待费：反映单位按规定开支的各类公务接待（含外宾接待）费用。</w:t>
      </w:r>
    </w:p>
    <w:p w14:paraId="4EEF82F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四、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0D2027D">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四十五、专用燃料费：反映用作业务工作设备的车、船设施等的油料支出。</w:t>
      </w:r>
    </w:p>
    <w:p w14:paraId="5A05079E">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四十六、劳务费：反映支付给单位和个人的劳务费用，如临时聘用人员、钟点工工资，稿费、翻译费，评审费等。</w:t>
      </w:r>
    </w:p>
    <w:p w14:paraId="72E7EEF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四十七、委托业务费：反映因委托外单位办理业务而支付的委托业务费。</w:t>
      </w:r>
    </w:p>
    <w:p w14:paraId="7758623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四十八、工会经费：反映单位按规定提取的工会经费。</w:t>
      </w:r>
    </w:p>
    <w:p w14:paraId="3B3922FA">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四十九、福利费：反映单位按规定提取的福利费。</w:t>
      </w:r>
    </w:p>
    <w:p w14:paraId="0F96993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五十、公务用车运行维护费：反映单位按规定保留的公务用车燃料费、维修费、过桥过路费、保险费、安全奖励费用等支出。</w:t>
      </w:r>
    </w:p>
    <w:p w14:paraId="0B781FE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五十一、其他交通费用：反映单位除公务用车运行维护费以外的其他交通费用。如公务交通补贴，租车费用、出租车费用，飞机、船舶等的燃料费、维修费、保险费等。</w:t>
      </w:r>
    </w:p>
    <w:p w14:paraId="6CDD706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五十二、税金及附加费用：反映单位提供劳务或销售产品应负担的税金及附加费用，包括营业税、消费税、城市维护建设税、资源税和教育附加等。</w:t>
      </w:r>
    </w:p>
    <w:p w14:paraId="5B0DF8A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五十三、其他商品和服务支出：反映上述科目未包括的日常公用支出。如行政赔偿费和诉讼费、国内组织的会员费、来访费、广告宣传、其他劳务费及离休人员特需费、公用经费等。</w:t>
      </w:r>
    </w:p>
    <w:p w14:paraId="68CF352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五十四、对个人和家庭的补助：反映政府用于对个人和家庭的补助支出。</w:t>
      </w:r>
    </w:p>
    <w:p w14:paraId="0402C1E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五十五、离休费：反映行政事业单位和军队移交政府安置的离休人员的离休费、护理费和其他补贴。</w:t>
      </w:r>
    </w:p>
    <w:p w14:paraId="6312A21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五十六、退休费：反映行政事业单位和军队移交政府安置的退休人员的退休费和其他补贴。</w:t>
      </w:r>
    </w:p>
    <w:p w14:paraId="1B60DA29">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五十七、抚恤金：反映按规定开支的烈士遗属、牺牲病故人员遗属的一次性和定期抚恤金，伤残人员的抚恤金，离退休人员等其他人员的各项抚恤金。</w:t>
      </w:r>
    </w:p>
    <w:p w14:paraId="48FF7D69">
      <w:pPr>
        <w:ind w:firstLine="640" w:firstLineChars="200"/>
        <w:jc w:val="left"/>
        <w:rPr>
          <w:rFonts w:hint="eastAsia" w:ascii="宋体" w:cs="宋体" w:eastAsiaTheme="minorEastAsia"/>
          <w:color w:val="000000"/>
          <w:kern w:val="0"/>
          <w:sz w:val="32"/>
          <w:szCs w:val="32"/>
          <w:lang w:eastAsia="zh-CN"/>
        </w:rPr>
      </w:pPr>
      <w:r>
        <w:rPr>
          <w:rFonts w:hint="eastAsia" w:ascii="宋体" w:hAnsi="宋体" w:cs="宋体"/>
          <w:color w:val="000000"/>
          <w:kern w:val="0"/>
          <w:sz w:val="32"/>
          <w:szCs w:val="32"/>
        </w:rPr>
        <w:t>五十八、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w:t>
      </w:r>
      <w:r>
        <w:rPr>
          <w:rFonts w:hint="eastAsia" w:ascii="宋体" w:hAnsi="宋体" w:cs="宋体"/>
          <w:color w:val="000000"/>
          <w:kern w:val="0"/>
          <w:sz w:val="32"/>
          <w:szCs w:val="32"/>
          <w:lang w:eastAsia="zh-CN"/>
        </w:rPr>
        <w:t>。</w:t>
      </w:r>
    </w:p>
    <w:p w14:paraId="47A67BC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九、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68F076E3">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助学金：反映各类学校学生助学金、奖学金、学生贷款、出国留学（实习）人员生活费，青少年业余体校学员伙食补助费和生活费补贴，按照协议由我方负担或享受我方奖学金的来华留学生、进修生生活费等。</w:t>
      </w:r>
    </w:p>
    <w:p w14:paraId="2B3A6D7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六十一、奖励金：反映政府各部门的奖励支出，如对个体私营经济的奖励、计划生育目标责任奖励、独生子女父母奖励等。</w:t>
      </w:r>
    </w:p>
    <w:p w14:paraId="7F7BF024">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六十二、住房公积金：反映行政事业单位按人力资源和社会保障部、财政部规定的基本工资和津贴补贴以及规定比例为职工缴纳的住房公积金。</w:t>
      </w:r>
    </w:p>
    <w:p w14:paraId="4BBC0B5A">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六十三、提租补贴：反映按房改政策规定的标准，行政事业单位向职工（含离退休人员）发放的租金补贴。</w:t>
      </w:r>
    </w:p>
    <w:p w14:paraId="26A9068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六十四、购房补贴：反映按房改政策规定，行政事业单位向符合条件职工（含离退休人员）、军队</w:t>
      </w:r>
      <w:r>
        <w:rPr>
          <w:rFonts w:ascii="宋体" w:hAnsi="宋体" w:cs="宋体"/>
          <w:color w:val="000000"/>
          <w:kern w:val="0"/>
          <w:sz w:val="32"/>
          <w:szCs w:val="32"/>
        </w:rPr>
        <w:t>(</w:t>
      </w:r>
      <w:r>
        <w:rPr>
          <w:rFonts w:hint="eastAsia" w:ascii="宋体" w:hAnsi="宋体" w:cs="宋体"/>
          <w:color w:val="000000"/>
          <w:kern w:val="0"/>
          <w:sz w:val="32"/>
          <w:szCs w:val="32"/>
        </w:rPr>
        <w:t>含武警</w:t>
      </w:r>
      <w:r>
        <w:rPr>
          <w:rFonts w:ascii="宋体" w:hAnsi="宋体" w:cs="宋体"/>
          <w:color w:val="000000"/>
          <w:kern w:val="0"/>
          <w:sz w:val="32"/>
          <w:szCs w:val="32"/>
        </w:rPr>
        <w:t>)</w:t>
      </w:r>
      <w:r>
        <w:rPr>
          <w:rFonts w:hint="eastAsia" w:ascii="宋体" w:hAnsi="宋体" w:cs="宋体"/>
          <w:color w:val="000000"/>
          <w:kern w:val="0"/>
          <w:sz w:val="32"/>
          <w:szCs w:val="32"/>
        </w:rPr>
        <w:t>向转役复员离退休人员发放的用于购买住房的补贴。</w:t>
      </w:r>
    </w:p>
    <w:p w14:paraId="5122F23A">
      <w:pPr>
        <w:ind w:firstLine="640" w:firstLineChars="200"/>
        <w:jc w:val="left"/>
        <w:rPr>
          <w:rFonts w:hint="eastAsia" w:ascii="宋体" w:cs="宋体" w:eastAsiaTheme="minorEastAsia"/>
          <w:color w:val="000000"/>
          <w:kern w:val="0"/>
          <w:sz w:val="32"/>
          <w:szCs w:val="32"/>
          <w:lang w:eastAsia="zh-CN"/>
        </w:rPr>
      </w:pPr>
      <w:r>
        <w:rPr>
          <w:rFonts w:hint="eastAsia" w:ascii="宋体" w:hAnsi="宋体" w:cs="宋体"/>
          <w:color w:val="000000"/>
          <w:kern w:val="0"/>
          <w:sz w:val="32"/>
          <w:szCs w:val="32"/>
        </w:rPr>
        <w:t>六十五、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r>
        <w:rPr>
          <w:rFonts w:hint="eastAsia" w:ascii="宋体" w:hAnsi="宋体" w:cs="宋体"/>
          <w:color w:val="000000"/>
          <w:kern w:val="0"/>
          <w:sz w:val="32"/>
          <w:szCs w:val="32"/>
          <w:lang w:eastAsia="zh-CN"/>
        </w:rPr>
        <w:t>。</w:t>
      </w:r>
    </w:p>
    <w:p w14:paraId="1D209E4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六十六、其他资本性支出：反映发展与改革部门以外的其他部门安排的用于购置固定资产、战略性和应急性储备、土地和无形资产，以及购建基础设施、大型修缮和财政支持企业更新改造所发生的支出。</w:t>
      </w:r>
    </w:p>
    <w:p w14:paraId="2962303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六十七、办公设备购置：反映用于购置并按财务会计制度规定纳入固定资产核算范围的办公家具和办公设备的支出，以及按规定提取的修购基金。</w:t>
      </w:r>
    </w:p>
    <w:p w14:paraId="79FE440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八、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1212105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九、信息网络及软件购置更新：反映政府用于信息网络方面的支出。如计算机硬件、软件购置、开发、应用支出等，如果购建的计算机硬件、软件等不符合财务会计制度规定的固定资产确认标准的，不在此科目反映。</w:t>
      </w:r>
    </w:p>
    <w:p w14:paraId="034F0704">
      <w:pPr>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rPr>
        <w:t>七十、其他资本性支出：反映著作权、商标权、专利权等无形资产购置支出，以及其他上述科目中未包括的资本性支出。如娱乐、文化和艺术原作的使用权、购买国内外影片播映权、购置图书等。</w:t>
      </w:r>
    </w:p>
    <w:p w14:paraId="493DE97F">
      <w:pPr>
        <w:ind w:firstLine="64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32"/>
          <w:szCs w:val="32"/>
        </w:rPr>
        <w:t>七十一、机关运行经费:为保障行政单位(含参照公务员法管理的事业单位) 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31B44B">
      <w:pPr>
        <w:pStyle w:val="5"/>
      </w:pPr>
    </w:p>
    <w:p w14:paraId="24A106F1">
      <w:pPr>
        <w:widowControl/>
        <w:jc w:val="left"/>
        <w:rPr>
          <w:rFonts w:ascii="黑体" w:eastAsia="黑体" w:cs="黑体"/>
          <w:color w:val="000000"/>
          <w:kern w:val="0"/>
          <w:sz w:val="32"/>
          <w:szCs w:val="32"/>
        </w:rPr>
      </w:pPr>
    </w:p>
    <w:p w14:paraId="1E5A8CE1">
      <w:pPr>
        <w:widowControl/>
        <w:jc w:val="left"/>
      </w:pPr>
    </w:p>
    <w:p w14:paraId="1962F822">
      <w:pPr>
        <w:widowControl/>
        <w:jc w:val="left"/>
      </w:pPr>
    </w:p>
    <w:p w14:paraId="75C0A34A">
      <w:pPr>
        <w:widowControl/>
        <w:jc w:val="left"/>
      </w:pPr>
    </w:p>
    <w:p w14:paraId="4B1CFE25">
      <w:pPr>
        <w:widowControl/>
        <w:jc w:val="left"/>
      </w:pPr>
    </w:p>
    <w:p w14:paraId="6B46B32A">
      <w:pPr>
        <w:pStyle w:val="13"/>
        <w:jc w:val="center"/>
        <w:rPr>
          <w:sz w:val="72"/>
          <w:szCs w:val="72"/>
        </w:rPr>
      </w:pPr>
    </w:p>
    <w:p w14:paraId="54387784">
      <w:pPr>
        <w:pStyle w:val="13"/>
        <w:jc w:val="center"/>
        <w:rPr>
          <w:sz w:val="72"/>
          <w:szCs w:val="72"/>
        </w:rPr>
      </w:pPr>
    </w:p>
    <w:p w14:paraId="01EB4C3E">
      <w:pPr>
        <w:pStyle w:val="13"/>
        <w:jc w:val="center"/>
        <w:rPr>
          <w:rFonts w:hint="eastAsia" w:ascii="仿宋_GB2312" w:hAnsi="仿宋_GB2312" w:eastAsia="仿宋_GB2312" w:cs="仿宋_GB2312"/>
          <w:sz w:val="32"/>
          <w:szCs w:val="32"/>
        </w:rPr>
      </w:pPr>
    </w:p>
    <w:p w14:paraId="1D47518A">
      <w:pPr>
        <w:pStyle w:val="3"/>
      </w:pPr>
    </w:p>
    <w:p w14:paraId="580CF8E4"/>
    <w:p w14:paraId="0C17744C">
      <w:pPr>
        <w:pStyle w:val="2"/>
      </w:pPr>
    </w:p>
    <w:p w14:paraId="7B8BABF4">
      <w:pPr>
        <w:pStyle w:val="3"/>
      </w:pPr>
    </w:p>
    <w:p w14:paraId="1942C0DC"/>
    <w:p w14:paraId="6E2D1EEF">
      <w:pPr>
        <w:pStyle w:val="2"/>
      </w:pPr>
    </w:p>
    <w:p w14:paraId="5F6ABC3B">
      <w:pPr>
        <w:pStyle w:val="3"/>
      </w:pPr>
    </w:p>
    <w:p w14:paraId="51BE6437"/>
    <w:p w14:paraId="05344CBA">
      <w:pPr>
        <w:pStyle w:val="2"/>
      </w:pPr>
    </w:p>
    <w:p w14:paraId="5C9170AD">
      <w:pPr>
        <w:pStyle w:val="3"/>
      </w:pPr>
    </w:p>
    <w:p w14:paraId="29D3A91E"/>
    <w:p w14:paraId="0D2A994E">
      <w:pPr>
        <w:pStyle w:val="2"/>
      </w:pPr>
    </w:p>
    <w:p w14:paraId="59CBCCA7">
      <w:pPr>
        <w:pStyle w:val="3"/>
      </w:pPr>
    </w:p>
    <w:p w14:paraId="67806EBD"/>
    <w:p w14:paraId="7C18BB03">
      <w:pPr>
        <w:pStyle w:val="2"/>
      </w:pPr>
    </w:p>
    <w:p w14:paraId="29230CAD">
      <w:pPr>
        <w:pStyle w:val="3"/>
      </w:pPr>
    </w:p>
    <w:p w14:paraId="724E0A54"/>
    <w:p w14:paraId="496F732E">
      <w:pPr>
        <w:pStyle w:val="2"/>
      </w:pPr>
    </w:p>
    <w:p w14:paraId="354ECFD8">
      <w:pPr>
        <w:pStyle w:val="3"/>
      </w:pPr>
    </w:p>
    <w:p w14:paraId="51C67B38"/>
    <w:p w14:paraId="4D131F3E"/>
    <w:p w14:paraId="7CFBCE3C">
      <w:pPr>
        <w:pStyle w:val="2"/>
      </w:pPr>
    </w:p>
    <w:p w14:paraId="5C3DE094">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70"/>
          <w:szCs w:val="70"/>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BC331"/>
    <w:multiLevelType w:val="singleLevel"/>
    <w:tmpl w:val="E3CBC331"/>
    <w:lvl w:ilvl="0" w:tentative="0">
      <w:start w:val="3"/>
      <w:numFmt w:val="decimal"/>
      <w:lvlText w:val="%1."/>
      <w:lvlJc w:val="left"/>
      <w:pPr>
        <w:tabs>
          <w:tab w:val="left" w:pos="312"/>
        </w:tabs>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650215"/>
    <w:rsid w:val="059958AD"/>
    <w:rsid w:val="06C857E7"/>
    <w:rsid w:val="08B50A87"/>
    <w:rsid w:val="08C24A73"/>
    <w:rsid w:val="0EB63A2E"/>
    <w:rsid w:val="11944E2C"/>
    <w:rsid w:val="12583BA5"/>
    <w:rsid w:val="13BA5B9C"/>
    <w:rsid w:val="16724D8C"/>
    <w:rsid w:val="1BB41732"/>
    <w:rsid w:val="1D97DEFF"/>
    <w:rsid w:val="1DFF72E5"/>
    <w:rsid w:val="1EFC6F07"/>
    <w:rsid w:val="1F0527A6"/>
    <w:rsid w:val="22AC03C2"/>
    <w:rsid w:val="283B15FE"/>
    <w:rsid w:val="299568C5"/>
    <w:rsid w:val="2E5F074B"/>
    <w:rsid w:val="2FDF85B8"/>
    <w:rsid w:val="2FFFEE04"/>
    <w:rsid w:val="30230DCD"/>
    <w:rsid w:val="31C95635"/>
    <w:rsid w:val="34DF85B0"/>
    <w:rsid w:val="388752B9"/>
    <w:rsid w:val="3B8F36BC"/>
    <w:rsid w:val="43EB5BA5"/>
    <w:rsid w:val="491FF225"/>
    <w:rsid w:val="4C575977"/>
    <w:rsid w:val="4EC310A1"/>
    <w:rsid w:val="4FFD214C"/>
    <w:rsid w:val="5352765A"/>
    <w:rsid w:val="5777D4F5"/>
    <w:rsid w:val="57F22B6F"/>
    <w:rsid w:val="59DD8326"/>
    <w:rsid w:val="5AB6152D"/>
    <w:rsid w:val="5DEF592A"/>
    <w:rsid w:val="5FC6BB1E"/>
    <w:rsid w:val="5FF720F1"/>
    <w:rsid w:val="622964C1"/>
    <w:rsid w:val="62647C68"/>
    <w:rsid w:val="67FF5C0B"/>
    <w:rsid w:val="6BAA4A2F"/>
    <w:rsid w:val="6DDEC5C0"/>
    <w:rsid w:val="6EFC0924"/>
    <w:rsid w:val="6FB74722"/>
    <w:rsid w:val="6FEF8B7E"/>
    <w:rsid w:val="717FE77F"/>
    <w:rsid w:val="71A6591B"/>
    <w:rsid w:val="737D59BA"/>
    <w:rsid w:val="737F32B1"/>
    <w:rsid w:val="73BD3FCA"/>
    <w:rsid w:val="74F60099"/>
    <w:rsid w:val="776BDA01"/>
    <w:rsid w:val="77C37683"/>
    <w:rsid w:val="79FF515B"/>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0"/>
    <w:pPr>
      <w:spacing w:after="120" w:afterLines="0" w:afterAutospacing="0"/>
    </w:p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1166</Words>
  <Characters>1337</Characters>
  <Lines>63</Lines>
  <Paragraphs>18</Paragraphs>
  <TotalTime>0</TotalTime>
  <ScaleCrop>false</ScaleCrop>
  <LinksUpToDate>false</LinksUpToDate>
  <CharactersWithSpaces>1344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黎安</cp:lastModifiedBy>
  <cp:lastPrinted>2024-08-11T02:20:00Z</cp:lastPrinted>
  <dcterms:modified xsi:type="dcterms:W3CDTF">2025-10-17T01:28:20Z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A8A81A1DD252415BB5B40E3AF3245AB1_13</vt:lpwstr>
  </property>
  <property fmtid="{D5CDD505-2E9C-101B-9397-08002B2CF9AE}" pid="4" name="KSOTemplateDocerSaveRecord">
    <vt:lpwstr>eyJoZGlkIjoiYjI4ZWM0OTk4MGNlNjZhNDY2ZmM5YWI0MmYyMTdhMTMiLCJ1c2VySWQiOiI2MTc1MTQwNzkifQ==</vt:lpwstr>
  </property>
</Properties>
</file>