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rPr>
          <w:sz w:val="84"/>
          <w:szCs w:val="84"/>
        </w:rPr>
      </w:pPr>
      <w:bookmarkStart w:id="0" w:name="OLE_LINK3"/>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屈原管理区应急管理局</w:t>
      </w:r>
      <w:r>
        <w:rPr>
          <w:rFonts w:hint="eastAsia" w:ascii="方正小标宋_GBK" w:hAnsi="方正小标宋_GBK" w:eastAsia="方正小标宋_GBK" w:cs="方正小标宋_GBK"/>
          <w:sz w:val="84"/>
          <w:szCs w:val="84"/>
        </w:rPr>
        <w:t>部门决算</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p>
    <w:p>
      <w:pPr>
        <w:pStyle w:val="14"/>
        <w:spacing w:line="500" w:lineRule="exact"/>
        <w:jc w:val="center"/>
        <w:rPr>
          <w:b/>
          <w:sz w:val="36"/>
          <w:szCs w:val="28"/>
        </w:rPr>
      </w:pPr>
      <w:r>
        <w:rPr>
          <w:rFonts w:hint="eastAsia"/>
          <w:b/>
          <w:sz w:val="36"/>
          <w:szCs w:val="28"/>
        </w:rPr>
        <w:t>目录</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应急管理局</w:t>
      </w:r>
      <w:r>
        <w:rPr>
          <w:rFonts w:hint="eastAsia" w:ascii="黑体" w:hAnsi="黑体" w:eastAsia="黑体" w:cs="黑体"/>
          <w:b w:val="0"/>
          <w:bCs/>
          <w:sz w:val="28"/>
          <w:szCs w:val="28"/>
        </w:rPr>
        <w:t>概况</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4"/>
        <w:spacing w:line="500" w:lineRule="exact"/>
        <w:ind w:firstLine="700" w:firstLineChars="250"/>
        <w:rPr>
          <w:rFonts w:hint="eastAsia" w:ascii="黑体" w:hAnsi="黑体" w:eastAsia="黑体" w:cs="黑体"/>
          <w:b w:val="0"/>
          <w:bCs/>
          <w:sz w:val="28"/>
          <w:szCs w:val="28"/>
        </w:rPr>
      </w:pPr>
      <w:r>
        <w:rPr>
          <w:rFonts w:hint="eastAsia" w:ascii="仿宋_GB2312" w:hAnsi="仿宋_GB2312" w:eastAsia="仿宋_GB2312" w:cs="仿宋_GB2312"/>
          <w:sz w:val="28"/>
          <w:szCs w:val="28"/>
        </w:rPr>
        <w:t>二、机构设置及决算单位构成</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4"/>
        <w:jc w:val="center"/>
        <w:rPr>
          <w:rFonts w:hint="eastAsia" w:ascii="方正小标宋_GBK" w:hAnsi="方正小标宋_GBK" w:eastAsia="方正小标宋_GBK" w:cs="方正小标宋_GBK"/>
          <w:sz w:val="84"/>
          <w:szCs w:val="84"/>
        </w:rPr>
      </w:pPr>
    </w:p>
    <w:p>
      <w:pPr>
        <w:pStyle w:val="14"/>
        <w:jc w:val="both"/>
        <w:rPr>
          <w:rFonts w:hint="eastAsia" w:ascii="方正小标宋_GBK" w:hAnsi="方正小标宋_GBK" w:eastAsia="方正小标宋_GBK" w:cs="方正小标宋_GBK"/>
          <w:sz w:val="84"/>
          <w:szCs w:val="84"/>
        </w:rPr>
      </w:pPr>
    </w:p>
    <w:p>
      <w:pPr>
        <w:pStyle w:val="14"/>
        <w:jc w:val="center"/>
        <w:rPr>
          <w:rFonts w:hint="default"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rPr>
        <w:t>第一部分</w:t>
      </w: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应急管理局</w:t>
      </w:r>
      <w:r>
        <w:rPr>
          <w:rFonts w:hint="eastAsia" w:ascii="方正小标宋_GBK" w:hAnsi="方正小标宋_GBK" w:eastAsia="方正小标宋_GBK" w:cs="方正小标宋_GBK"/>
          <w:sz w:val="84"/>
          <w:szCs w:val="84"/>
        </w:rPr>
        <w:t>概况</w:t>
      </w:r>
    </w:p>
    <w:p>
      <w:pPr>
        <w:pStyle w:val="2"/>
        <w:rPr>
          <w:rFonts w:hint="eastAsia" w:ascii="方正小标宋_GBK" w:hAnsi="方正小标宋_GBK" w:eastAsia="方正小标宋_GBK" w:cs="方正小标宋_GBK"/>
          <w:sz w:val="84"/>
          <w:szCs w:val="84"/>
        </w:rPr>
      </w:pPr>
    </w:p>
    <w:p>
      <w:pPr>
        <w:pStyle w:val="3"/>
        <w:ind w:left="0" w:leftChars="0" w:firstLine="0" w:firstLineChars="0"/>
        <w:rPr>
          <w:rFonts w:hint="eastAsia" w:ascii="方正小标宋_GBK" w:hAnsi="方正小标宋_GBK" w:eastAsia="方正小标宋_GBK" w:cs="方正小标宋_GBK"/>
          <w:sz w:val="84"/>
          <w:szCs w:val="84"/>
        </w:rPr>
      </w:pPr>
    </w:p>
    <w:p>
      <w:pPr>
        <w:pStyle w:val="15"/>
        <w:numPr>
          <w:ilvl w:val="0"/>
          <w:numId w:val="0"/>
        </w:numPr>
        <w:ind w:leftChars="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部门职责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rPr>
          <w:rFonts w:hint="default" w:ascii="Times New Roman" w:hAnsi="Times New Roman" w:eastAsia="宋体" w:cs="Times New Roman"/>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（一）负责应急管理工作，指导全区各地区各部门应对安全生产类、自然灾害类等突发事件和综合防灾减灾救灾工作。负责安全生产综合监督管理和工矿商贸行业安全生产监督管理工作。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rPr>
          <w:rFonts w:hint="default" w:ascii="Times New Roman" w:hAnsi="Times New Roman" w:eastAsia="宋体" w:cs="Times New Roman"/>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（二）贯彻实施相关法律法规、部门规章、规程和标准，组织编制全区应急体系建设、安全生产和综合防灾减灾规划，组织拟订相关政策、规程和标准并监督实施。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rPr>
          <w:rFonts w:hint="default" w:ascii="Times New Roman" w:hAnsi="Times New Roman" w:eastAsia="宋体" w:cs="Times New Roman"/>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三）指导应急预案体系建设，建立完善事故灾难和自然灾害分级应对制度，组织编制屈原管理区总体应急预案和安全生产类、自然灾害类专项预案，综合协调应急预案衔接工作，组织开展预案演练，推动应急避难设施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rPr>
          <w:rFonts w:hint="default" w:ascii="Times New Roman" w:hAnsi="Times New Roman" w:eastAsia="宋体" w:cs="Times New Roman"/>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（四）牵头推进全区统一的应急管理信息系统建设，负责信息传输渠道的规划和布局，建立监测预警和灾情报告制度，健全自然灾害信息资源获取和共享机制，依法统一发布灾情。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rPr>
          <w:rFonts w:hint="default" w:ascii="Times New Roman" w:hAnsi="Times New Roman" w:eastAsia="宋体" w:cs="Times New Roman"/>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五）组织指导协调安全生产类、自然灾害类等突发事件应急救援，承担区应对较大及以上灾害指挥部工作，综合研判突发事件发展态势并提出应对建议，协助区委、区管委指定的负责同志组织较大及以上灾害应急处置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rPr>
          <w:rFonts w:hint="default" w:ascii="Times New Roman" w:hAnsi="Times New Roman" w:eastAsia="宋体" w:cs="Times New Roman"/>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（六）统一协调指挥各类应急专业队伍，建立应急协调联动机制，推进指挥平台对接。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rPr>
          <w:rFonts w:hint="default" w:ascii="Times New Roman" w:hAnsi="Times New Roman" w:eastAsia="宋体" w:cs="Times New Roman"/>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（七）统筹全区应急救援力量建设，负责消防、森林火灾扑救、抗洪抢险、地震和地质灾害救援、生产安全事故救援等专业应急救援力量建设，指导地方及社会应急救援力量建设。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rPr>
          <w:rFonts w:hint="default" w:ascii="Times New Roman" w:hAnsi="Times New Roman" w:eastAsia="宋体" w:cs="Times New Roman"/>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（八）负责全区消防管理有关工作，指导地方消防监督、火灾预防、火灾扑救等工作。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rPr>
          <w:rFonts w:hint="default" w:ascii="Times New Roman" w:hAnsi="Times New Roman" w:eastAsia="宋体" w:cs="Times New Roman"/>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（九）指导协调全区森林火灾、水旱灾害、地震和地质灾害等防治工作，负责自然灾害综合监测预警工作，指导开展自然灾害综合风险评估工作。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rPr>
          <w:rFonts w:hint="default" w:ascii="Times New Roman" w:hAnsi="Times New Roman" w:eastAsia="宋体" w:cs="Times New Roman"/>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（十）组织协调灾害救助工作，组织指导灾情核查、损失评估、救灾捐赠工作，按权限管理、分配中央、省、市下达和区级救灾款物并监督使用。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rPr>
          <w:rFonts w:hint="default" w:ascii="Times New Roman" w:hAnsi="Times New Roman" w:eastAsia="宋体" w:cs="Times New Roman"/>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（十一）承担区安全生产委员会日常工作，依法行使安全生产综合监督管理职权，指导协调、监督检查区管委有关部门和各乡镇安全生产工作，组织开展安全生产巡查、考核工作。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rPr>
          <w:rFonts w:hint="default" w:ascii="Times New Roman" w:hAnsi="Times New Roman" w:eastAsia="宋体" w:cs="Times New Roman"/>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十二）按照分级、属地原则，依法监督检查工矿商贸生产经营单位贯彻执行安全生产法律法规情况及其安全生产条件和有关设备（特种设备除外）、材料、劳动防护用品的安全生产管理工作。负责监督管理工矿商贸行业市属企业安全生产工作。依法组织和指导监督实施安全生产准入制度。负责危险化学品安全监督管理综合工作和烟花爆竹安全生产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rPr>
          <w:rFonts w:hint="default" w:ascii="Times New Roman" w:hAnsi="Times New Roman" w:eastAsia="宋体" w:cs="Times New Roman"/>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（十三）依法组织指导生产安全事故调查处理，监督事故查处和责任追究落实情况。组织开展自然灾害类突发事件的调查评估工作。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rPr>
          <w:rFonts w:hint="default" w:ascii="Times New Roman" w:hAnsi="Times New Roman" w:eastAsia="宋体" w:cs="Times New Roman"/>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（十四）开展应急管理对外交流与合作，组织参与安全生产类、自然灾害类等突发事件的对外救援工作。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rPr>
          <w:rFonts w:hint="default" w:ascii="Times New Roman" w:hAnsi="Times New Roman" w:eastAsia="宋体" w:cs="Times New Roman"/>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（十五）制定全区应急物资储备和应急救援装备规划并组织实施，会同区科技和工业信息化局建立健全应急物资信息平台和调拨制度，在救灾时统一调度。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rPr>
          <w:rFonts w:hint="default" w:ascii="Times New Roman" w:hAnsi="Times New Roman" w:eastAsia="宋体" w:cs="Times New Roman"/>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（十六）负责应急管理、安全生产宣传教育和培训工作，组织指导应急管理、安全生产的科学技术研究、推广应用和信息化建设工作。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rPr>
          <w:rFonts w:hint="default" w:ascii="Times New Roman" w:hAnsi="Times New Roman" w:eastAsia="宋体" w:cs="Times New Roman"/>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（十七）承担区防汛抗旱指挥部日常工作，协调区防汛抗旱指挥部成员单位的相关工作，组织执行国家防汛抗旱总指挥部、相关流域防汛抗旱指挥机构和省、市、区防汛抗旱指挥部的指示、命令。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十八）职能转变。区应急局应加强、优化、统筹全区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区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较大及以上安全事故。</w:t>
      </w:r>
    </w:p>
    <w:p>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rPr>
          <w:rFonts w:hint="eastAsia" w:ascii="方正仿宋_GB2312" w:hAnsi="方正仿宋_GB2312" w:eastAsia="方正仿宋_GB2312" w:cs="方正仿宋_GB2312"/>
          <w:bCs/>
          <w:kern w:val="0"/>
          <w:sz w:val="28"/>
          <w:szCs w:val="28"/>
          <w:lang w:val="en-US" w:eastAsia="zh-CN" w:bidi="ar"/>
        </w:rPr>
      </w:pPr>
      <w:r>
        <w:rPr>
          <w:rFonts w:hint="eastAsia" w:ascii="方正仿宋_GB2312" w:hAnsi="方正仿宋_GB2312" w:eastAsia="方正仿宋_GB2312" w:cs="方正仿宋_GB2312"/>
          <w:bCs/>
          <w:kern w:val="0"/>
          <w:sz w:val="28"/>
          <w:szCs w:val="28"/>
          <w:lang w:val="en-US" w:eastAsia="zh-CN" w:bidi="ar"/>
        </w:rPr>
        <w:t>（一）内设机构设置。</w:t>
      </w:r>
      <w:r>
        <w:rPr>
          <w:rFonts w:hint="eastAsia" w:ascii="方正仿宋_GB2312" w:hAnsi="方正仿宋_GB2312" w:eastAsia="方正仿宋_GB2312" w:cs="方正仿宋_GB2312"/>
          <w:i w:val="0"/>
          <w:iCs w:val="0"/>
          <w:caps w:val="0"/>
          <w:color w:val="auto"/>
          <w:spacing w:val="0"/>
          <w:kern w:val="0"/>
          <w:sz w:val="28"/>
          <w:szCs w:val="28"/>
          <w:lang w:val="en-US" w:eastAsia="zh-CN" w:bidi="ar"/>
        </w:rPr>
        <w:t>岳阳市屈原管理区应急管理局</w:t>
      </w:r>
      <w:r>
        <w:rPr>
          <w:rFonts w:hint="eastAsia" w:ascii="方正仿宋_GB2312" w:hAnsi="方正仿宋_GB2312" w:eastAsia="方正仿宋_GB2312" w:cs="方正仿宋_GB2312"/>
          <w:bCs/>
          <w:kern w:val="0"/>
          <w:sz w:val="28"/>
          <w:szCs w:val="28"/>
          <w:lang w:val="en-US" w:eastAsia="zh-CN" w:bidi="ar"/>
        </w:rPr>
        <w:t>内设机构包括：</w:t>
      </w:r>
      <w:r>
        <w:rPr>
          <w:rFonts w:hint="eastAsia" w:ascii="方正仿宋_GB2312" w:hAnsi="方正仿宋_GB2312" w:eastAsia="方正仿宋_GB2312" w:cs="方正仿宋_GB2312"/>
          <w:i w:val="0"/>
          <w:iCs w:val="0"/>
          <w:caps w:val="0"/>
          <w:color w:val="auto"/>
          <w:spacing w:val="0"/>
          <w:kern w:val="0"/>
          <w:sz w:val="28"/>
          <w:szCs w:val="28"/>
          <w:lang w:val="en-US" w:eastAsia="zh-CN" w:bidi="ar"/>
        </w:rPr>
        <w:t>安全生产监察执法大队、区应急救援中心。</w:t>
      </w:r>
    </w:p>
    <w:p>
      <w:pPr>
        <w:pStyle w:val="14"/>
        <w:spacing w:line="500" w:lineRule="exact"/>
        <w:ind w:firstLine="700" w:firstLineChars="25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bCs/>
          <w:kern w:val="0"/>
          <w:sz w:val="28"/>
          <w:szCs w:val="28"/>
        </w:rPr>
        <w:t>（二）决算单位构成。</w:t>
      </w:r>
      <w:r>
        <w:rPr>
          <w:rFonts w:hint="eastAsia" w:ascii="方正仿宋_GB2312" w:hAnsi="方正仿宋_GB2312" w:eastAsia="方正仿宋_GB2312" w:cs="方正仿宋_GB2312"/>
          <w:i w:val="0"/>
          <w:iCs w:val="0"/>
          <w:caps w:val="0"/>
          <w:color w:val="auto"/>
          <w:spacing w:val="0"/>
          <w:sz w:val="28"/>
          <w:szCs w:val="28"/>
        </w:rPr>
        <w:t>岳阳市屈原管理区应急管理局</w:t>
      </w:r>
      <w:r>
        <w:rPr>
          <w:rFonts w:hint="eastAsia" w:ascii="方正仿宋_GB2312" w:hAnsi="方正仿宋_GB2312" w:eastAsia="方正仿宋_GB2312" w:cs="方正仿宋_GB2312"/>
          <w:bCs/>
          <w:kern w:val="0"/>
          <w:sz w:val="28"/>
          <w:szCs w:val="28"/>
        </w:rPr>
        <w:t>202</w:t>
      </w:r>
      <w:r>
        <w:rPr>
          <w:rFonts w:hint="eastAsia" w:ascii="方正仿宋_GB2312" w:hAnsi="方正仿宋_GB2312" w:eastAsia="方正仿宋_GB2312" w:cs="方正仿宋_GB2312"/>
          <w:bCs/>
          <w:kern w:val="0"/>
          <w:sz w:val="28"/>
          <w:szCs w:val="28"/>
          <w:lang w:val="en-US" w:eastAsia="zh-CN"/>
        </w:rPr>
        <w:t>3</w:t>
      </w:r>
      <w:r>
        <w:rPr>
          <w:rFonts w:hint="eastAsia" w:ascii="方正仿宋_GB2312" w:hAnsi="方正仿宋_GB2312" w:eastAsia="方正仿宋_GB2312" w:cs="方正仿宋_GB2312"/>
          <w:bCs/>
          <w:kern w:val="0"/>
          <w:sz w:val="28"/>
          <w:szCs w:val="28"/>
        </w:rPr>
        <w:t>年部门决算汇总公开单位构成包括：</w:t>
      </w:r>
      <w:r>
        <w:rPr>
          <w:rFonts w:hint="eastAsia" w:ascii="方正仿宋_GB2312" w:hAnsi="方正仿宋_GB2312" w:eastAsia="方正仿宋_GB2312" w:cs="方正仿宋_GB2312"/>
          <w:i w:val="0"/>
          <w:iCs w:val="0"/>
          <w:caps w:val="0"/>
          <w:color w:val="auto"/>
          <w:spacing w:val="0"/>
          <w:sz w:val="28"/>
          <w:szCs w:val="28"/>
        </w:rPr>
        <w:t>岳阳市屈原管理区应急管理局</w:t>
      </w:r>
      <w:r>
        <w:rPr>
          <w:rFonts w:hint="eastAsia" w:ascii="方正仿宋_GB2312" w:hAnsi="方正仿宋_GB2312" w:eastAsia="方正仿宋_GB2312" w:cs="方正仿宋_GB2312"/>
          <w:bCs/>
          <w:kern w:val="0"/>
          <w:sz w:val="28"/>
          <w:szCs w:val="28"/>
        </w:rPr>
        <w:t>本级以及</w:t>
      </w:r>
      <w:r>
        <w:rPr>
          <w:rFonts w:hint="eastAsia" w:ascii="方正仿宋_GB2312" w:hAnsi="方正仿宋_GB2312" w:eastAsia="方正仿宋_GB2312" w:cs="方正仿宋_GB2312"/>
          <w:i w:val="0"/>
          <w:iCs w:val="0"/>
          <w:caps w:val="0"/>
          <w:color w:val="auto"/>
          <w:spacing w:val="0"/>
          <w:sz w:val="28"/>
          <w:szCs w:val="28"/>
        </w:rPr>
        <w:t>安全生产监察执法大队</w:t>
      </w:r>
      <w:r>
        <w:rPr>
          <w:rFonts w:hint="eastAsia" w:ascii="方正仿宋_GB2312" w:hAnsi="方正仿宋_GB2312" w:eastAsia="方正仿宋_GB2312" w:cs="方正仿宋_GB2312"/>
          <w:i w:val="0"/>
          <w:iCs w:val="0"/>
          <w:caps w:val="0"/>
          <w:color w:val="auto"/>
          <w:spacing w:val="0"/>
          <w:sz w:val="28"/>
          <w:szCs w:val="28"/>
          <w:lang w:eastAsia="zh-CN"/>
        </w:rPr>
        <w:t>、</w:t>
      </w:r>
      <w:r>
        <w:rPr>
          <w:rFonts w:hint="eastAsia" w:ascii="方正仿宋_GB2312" w:hAnsi="方正仿宋_GB2312" w:eastAsia="方正仿宋_GB2312" w:cs="方正仿宋_GB2312"/>
          <w:i w:val="0"/>
          <w:iCs w:val="0"/>
          <w:caps w:val="0"/>
          <w:color w:val="auto"/>
          <w:spacing w:val="0"/>
          <w:sz w:val="28"/>
          <w:szCs w:val="28"/>
        </w:rPr>
        <w:t>区应急救援中心</w:t>
      </w:r>
      <w:r>
        <w:rPr>
          <w:rFonts w:hint="eastAsia" w:ascii="方正仿宋_GB2312" w:hAnsi="方正仿宋_GB2312" w:eastAsia="方正仿宋_GB2312" w:cs="方正仿宋_GB2312"/>
          <w:i w:val="0"/>
          <w:iCs w:val="0"/>
          <w:caps w:val="0"/>
          <w:color w:val="auto"/>
          <w:spacing w:val="0"/>
          <w:sz w:val="28"/>
          <w:szCs w:val="28"/>
          <w:lang w:eastAsia="zh-CN"/>
        </w:rPr>
        <w:t>。</w:t>
      </w:r>
    </w:p>
    <w:p>
      <w:pPr>
        <w:pStyle w:val="14"/>
        <w:jc w:val="both"/>
        <w:rPr>
          <w:rFonts w:hint="eastAsia" w:ascii="方正小标宋_GBK" w:hAnsi="方正小标宋_GBK" w:eastAsia="方正小标宋_GBK" w:cs="方正小标宋_GBK"/>
          <w:sz w:val="84"/>
          <w:szCs w:val="84"/>
        </w:rPr>
      </w:pPr>
    </w:p>
    <w:p>
      <w:pPr>
        <w:pStyle w:val="14"/>
        <w:jc w:val="both"/>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4"/>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第三部分</w:t>
      </w:r>
    </w:p>
    <w:p>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643.67</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240.09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59.49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应急、消防国债项目和防汛救灾支出增加。</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bookmarkStart w:id="1" w:name="OLE_LINK1"/>
      <w:r>
        <w:rPr>
          <w:rFonts w:hint="eastAsia" w:ascii="仿宋_GB2312" w:hAnsi="仿宋_GB2312" w:eastAsia="仿宋_GB2312" w:cs="仿宋_GB2312"/>
          <w:sz w:val="32"/>
          <w:szCs w:val="32"/>
          <w:lang w:val="en-US" w:eastAsia="zh-CN"/>
        </w:rPr>
        <w:t>643.67</w:t>
      </w:r>
      <w:bookmarkEnd w:id="1"/>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616.41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95.76</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27.26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4.24</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643.67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157.64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24.49</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486.03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75.51</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616.41</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212.83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52.74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应急、消防国债项目和防汛</w:t>
      </w:r>
      <w:bookmarkStart w:id="2" w:name="OLE_LINK2"/>
      <w:r>
        <w:rPr>
          <w:rFonts w:hint="eastAsia" w:ascii="仿宋_GB2312" w:hAnsi="仿宋_GB2312" w:eastAsia="仿宋_GB2312" w:cs="仿宋_GB2312"/>
          <w:sz w:val="32"/>
          <w:szCs w:val="32"/>
          <w:lang w:val="en-US" w:eastAsia="zh-CN"/>
        </w:rPr>
        <w:t>救灾支出增加</w:t>
      </w:r>
      <w:bookmarkEnd w:id="2"/>
      <w:r>
        <w:rPr>
          <w:rFonts w:hint="eastAsia" w:ascii="仿宋_GB2312" w:hAnsi="仿宋_GB2312" w:eastAsia="仿宋_GB2312" w:cs="仿宋_GB2312"/>
          <w:sz w:val="32"/>
          <w:szCs w:val="32"/>
          <w:lang w:val="en-US"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616.41</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95.76</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235.3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61.74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应急、消防国债项目和防汛救灾支出增加。</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616.41</w:t>
      </w:r>
      <w:r>
        <w:rPr>
          <w:rFonts w:hint="eastAsia" w:ascii="仿宋_GB2312" w:hAnsi="仿宋_GB2312" w:eastAsia="仿宋_GB2312" w:cs="仿宋_GB2312"/>
          <w:sz w:val="32"/>
          <w:szCs w:val="32"/>
        </w:rPr>
        <w:t>万元，主要用于以下方面：自然灾害救灾补助</w:t>
      </w:r>
      <w:r>
        <w:rPr>
          <w:rFonts w:hint="eastAsia" w:ascii="仿宋_GB2312" w:hAnsi="仿宋_GB2312" w:eastAsia="仿宋_GB2312" w:cs="仿宋_GB2312"/>
          <w:sz w:val="32"/>
          <w:szCs w:val="32"/>
          <w:lang w:val="en-US" w:eastAsia="zh-CN"/>
        </w:rPr>
        <w:t>支出197.41万元，占32.03%；其他应急管理支出118.71万元，占19.26%；行政运行支出75.20万元，占12.20%；事业运行支出50.33万元，占8.17%；防汛支出48.74万元，占7.91%；其他自然灾害救灾及恢复重建支出40万元，占6.49%。</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233.89</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616.41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263.55</w:t>
      </w:r>
      <w:r>
        <w:rPr>
          <w:rFonts w:hint="eastAsia" w:ascii="仿宋_GB2312" w:hAnsi="仿宋_GB2312" w:eastAsia="仿宋_GB2312" w:cs="仿宋_GB2312"/>
          <w:sz w:val="32"/>
          <w:szCs w:val="32"/>
        </w:rPr>
        <w:t>%，其中：</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Times New Roman" w:hAnsi="Times New Roman" w:eastAsia="仿宋_GB2312"/>
          <w:sz w:val="32"/>
          <w:szCs w:val="32"/>
          <w:lang w:val="en-US" w:eastAsia="zh-CN"/>
        </w:rPr>
        <w:t>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行政事业单位养老</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机关事业单位基本养老保险缴费</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15.4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12.72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82.60</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人员退休。</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Times New Roman" w:hAnsi="Times New Roman" w:eastAsia="仿宋_GB2312"/>
          <w:sz w:val="32"/>
          <w:szCs w:val="32"/>
          <w:lang w:val="en-US" w:eastAsia="zh-CN"/>
        </w:rPr>
        <w:t>社会保障和就业</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其他社会保障和就业支出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其他社会保障和就业支出</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2.26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0.72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31.86</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人员退休。</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val="en-US" w:eastAsia="zh-CN"/>
        </w:rPr>
        <w:t>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事业单位医疗</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8.18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6.71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82.03</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人员退休。</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val="en-US" w:eastAsia="zh-CN"/>
        </w:rPr>
        <w:t>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公务员医疗补助</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1.84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69.02</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人员退休。</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val="en-US" w:eastAsia="zh-CN"/>
        </w:rPr>
        <w:t>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其他行政事业单位医疗支出</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7.65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109.29</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val="en-US" w:eastAsia="zh-CN"/>
        </w:rPr>
        <w:t>2023年医疗补助。</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val="en-US"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防汛</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48.74</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val="en-US" w:eastAsia="zh-CN"/>
        </w:rPr>
        <w:t>2024年防汛工作。</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val="en-US" w:eastAsia="zh-CN"/>
        </w:rPr>
        <w:t>住房保障支出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住房公积金</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11.55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11.55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val="en-US" w:eastAsia="zh-CN"/>
        </w:rPr>
        <w:t>灾害防治及应急管理支出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应急管理事务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80.25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75.20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93.71</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val="en-US" w:eastAsia="zh-CN"/>
        </w:rPr>
        <w:t>人员退休。</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val="en-US" w:eastAsia="zh-CN"/>
        </w:rPr>
        <w:t>灾害防治及应急管理支出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应急管理事务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应急救援</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12.70</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val="en-US" w:eastAsia="zh-CN"/>
        </w:rPr>
        <w:t>购买应急物资。</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val="en-US" w:eastAsia="zh-CN"/>
        </w:rPr>
        <w:t>灾害防治及应急管理支出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应急管理事务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事业运行</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64.41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50.33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78.14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val="en-US" w:eastAsia="zh-CN"/>
        </w:rPr>
        <w:t>人员退休。</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val="en-US" w:eastAsia="zh-CN"/>
        </w:rPr>
        <w:t>灾害防治及应急管理支出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应急管理事务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其他应急管理支出</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43.00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118.71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276.07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val="en-US" w:eastAsia="zh-CN"/>
        </w:rPr>
        <w:t>活动费用增加。</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val="en-US" w:eastAsia="zh-CN"/>
        </w:rPr>
        <w:t>灾害防治及应急管理支出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消防救援事务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消防应急救援</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32.69</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val="en-US" w:eastAsia="zh-CN"/>
        </w:rPr>
        <w:t>消防费用增加。</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val="en-US" w:eastAsia="zh-CN"/>
        </w:rPr>
        <w:t>灾害防治及应急管理支出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自然灾害救灾及恢复重建支出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自然灾害救灾补助</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197.41</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val="en-US" w:eastAsia="zh-CN"/>
        </w:rPr>
        <w:t>救灾费用增加。</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bookmarkStart w:id="3" w:name="_GoBack"/>
      <w:bookmarkEnd w:id="3"/>
      <w:r>
        <w:rPr>
          <w:rFonts w:hint="eastAsia" w:ascii="仿宋_GB2312" w:hAnsi="仿宋_GB2312" w:eastAsia="仿宋_GB2312" w:cs="仿宋_GB2312"/>
          <w:sz w:val="32"/>
          <w:szCs w:val="32"/>
        </w:rPr>
        <w:t>、</w:t>
      </w:r>
      <w:r>
        <w:rPr>
          <w:rFonts w:hint="eastAsia" w:ascii="Times New Roman" w:hAnsi="Times New Roman" w:eastAsia="仿宋_GB2312"/>
          <w:sz w:val="32"/>
          <w:szCs w:val="32"/>
          <w:lang w:val="en-US" w:eastAsia="zh-CN"/>
        </w:rPr>
        <w:t>灾害防治及应急管理支出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自然灾害救灾及恢复重建支出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其他灾害防治及应急管理支出</w:t>
      </w:r>
      <w:r>
        <w:rPr>
          <w:rFonts w:hint="eastAsia" w:ascii="Times New Roman" w:hAnsi="Times New Roman" w:eastAsia="仿宋_GB2312"/>
          <w:sz w:val="32"/>
          <w:szCs w:val="32"/>
        </w:rPr>
        <w:t>（项）。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val="en-US" w:eastAsia="zh-CN"/>
        </w:rPr>
        <w:t>救济费用增加。</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157.64</w:t>
      </w:r>
      <w:r>
        <w:rPr>
          <w:rFonts w:hint="eastAsia" w:ascii="仿宋_GB2312" w:hAnsi="仿宋_GB2312" w:eastAsia="仿宋_GB2312" w:cs="仿宋_GB2312"/>
          <w:sz w:val="32"/>
          <w:szCs w:val="32"/>
        </w:rPr>
        <w:t>万元，其中：</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135.11</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85.71</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基本工资、津贴补贴、奖金、</w:t>
      </w:r>
      <w:r>
        <w:rPr>
          <w:rFonts w:hint="eastAsia" w:ascii="Times New Roman" w:hAnsi="Times New Roman" w:eastAsia="仿宋_GB2312"/>
          <w:sz w:val="32"/>
          <w:szCs w:val="32"/>
          <w:lang w:val="en-US" w:eastAsia="zh-CN"/>
        </w:rPr>
        <w:t>绩效工资、机关事业单位基本养老保险缴费、职工基本医疗保险缴费、公务员医疗补助缴费、其他社会保障缴费、住房公积金</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22.53</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14.29</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lang w:val="en-US" w:eastAsia="zh-CN"/>
        </w:rPr>
        <w:t>电</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公务接待费、公务用车运行维护费、工会经费、其他交通费用、其他商品和服务支出</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2024年度政府性基金预算财政拨款收入0万元；年初结转和结余0万元；支出0万元，其中基本支出0万元，项目支出0万元；年末结转和结余0万元。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2024年度国有资本经营预算财政拨款收入0万元；年初结转和结余0万；支出0万元，其中：基本支出0万元，项目支出0万元；年末结转和结余0万元。</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7.98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79.80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5.01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168.69</w:t>
      </w:r>
      <w:r>
        <w:rPr>
          <w:rFonts w:ascii="Times New Roman" w:hAnsi="Times New Roman" w:eastAsia="仿宋_GB2312" w:cs="Times New Roman"/>
          <w:sz w:val="32"/>
          <w:szCs w:val="32"/>
        </w:rPr>
        <w:t>%。决算数小于预算数的主要原因是公务用车购置费及运行维护费支出</w:t>
      </w:r>
      <w:r>
        <w:rPr>
          <w:rFonts w:hint="eastAsia" w:ascii="Times New Roman" w:hAnsi="Times New Roman" w:eastAsia="仿宋_GB2312" w:cs="Times New Roman"/>
          <w:sz w:val="32"/>
          <w:szCs w:val="32"/>
          <w:lang w:val="en-US" w:eastAsia="zh-CN"/>
        </w:rPr>
        <w:t>较少</w:t>
      </w:r>
      <w:r>
        <w:rPr>
          <w:rFonts w:ascii="Times New Roman" w:hAnsi="Times New Roman" w:eastAsia="仿宋_GB2312" w:cs="Times New Roman"/>
          <w:sz w:val="32"/>
          <w:szCs w:val="32"/>
        </w:rPr>
        <w:t>。决算数大于上年数的主要原因是公务用车购置费及运行维护费</w:t>
      </w:r>
      <w:r>
        <w:rPr>
          <w:rFonts w:hint="eastAsia" w:ascii="Times New Roman" w:hAnsi="Times New Roman" w:eastAsia="仿宋_GB2312" w:cs="Times New Roman"/>
          <w:sz w:val="32"/>
          <w:szCs w:val="32"/>
          <w:lang w:val="en-US" w:eastAsia="zh-CN"/>
        </w:rPr>
        <w:t>增加</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7.00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71.43</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7.00</w:t>
      </w:r>
      <w:r>
        <w:rPr>
          <w:rFonts w:ascii="Times New Roman" w:hAnsi="Times New Roman" w:eastAsia="仿宋_GB2312" w:cs="Times New Roman"/>
          <w:sz w:val="32"/>
          <w:szCs w:val="32"/>
        </w:rPr>
        <w:t>万元，其中：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14"/>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7.00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5.00</w:t>
      </w:r>
      <w:r>
        <w:rPr>
          <w:rFonts w:ascii="Times New Roman" w:hAnsi="Times New Roman" w:eastAsia="仿宋_GB2312" w:cs="Times New Roman"/>
          <w:sz w:val="32"/>
          <w:szCs w:val="32"/>
        </w:rPr>
        <w:t>万元，主要是公务用车运行维护费支出，完成预算的</w:t>
      </w:r>
      <w:r>
        <w:rPr>
          <w:rFonts w:hint="eastAsia" w:ascii="Times New Roman" w:hAnsi="Times New Roman" w:eastAsia="仿宋_GB2312" w:cs="Times New Roman"/>
          <w:sz w:val="32"/>
          <w:szCs w:val="32"/>
          <w:lang w:val="en-US" w:eastAsia="zh-CN"/>
        </w:rPr>
        <w:t>71.43</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7.00</w:t>
      </w:r>
      <w:r>
        <w:rPr>
          <w:rFonts w:ascii="Times New Roman" w:hAnsi="Times New Roman" w:eastAsia="仿宋_GB2312" w:cs="Times New Roman"/>
          <w:sz w:val="32"/>
          <w:szCs w:val="32"/>
        </w:rPr>
        <w:t>万元。决算数小于预算数的主要原因是公务用车购置费及运行维护费支出</w:t>
      </w:r>
      <w:r>
        <w:rPr>
          <w:rFonts w:hint="eastAsia" w:ascii="Times New Roman" w:hAnsi="Times New Roman" w:eastAsia="仿宋_GB2312" w:cs="Times New Roman"/>
          <w:sz w:val="32"/>
          <w:szCs w:val="32"/>
          <w:lang w:val="en-US" w:eastAsia="zh-CN"/>
        </w:rPr>
        <w:t>较少</w:t>
      </w:r>
      <w:r>
        <w:rPr>
          <w:rFonts w:ascii="Times New Roman" w:hAnsi="Times New Roman" w:eastAsia="仿宋_GB2312" w:cs="Times New Roman"/>
          <w:sz w:val="32"/>
          <w:szCs w:val="32"/>
        </w:rPr>
        <w:t>。决算数大于上年数的主要原因是公务用车购置费及运行维护费</w:t>
      </w:r>
      <w:r>
        <w:rPr>
          <w:rFonts w:hint="eastAsia" w:ascii="Times New Roman" w:hAnsi="Times New Roman" w:eastAsia="仿宋_GB2312" w:cs="Times New Roman"/>
          <w:sz w:val="32"/>
          <w:szCs w:val="32"/>
          <w:lang w:val="en-US" w:eastAsia="zh-CN"/>
        </w:rPr>
        <w:t>增加</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pPr>
        <w:keepNext w:val="0"/>
        <w:keepLines w:val="0"/>
        <w:widowControl/>
        <w:suppressLineNumbers w:val="0"/>
        <w:ind w:firstLine="640" w:firstLineChars="200"/>
        <w:jc w:val="left"/>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3.00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99.33</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%。决算数小于预算数的主要原因是公务接待费支出</w:t>
      </w:r>
      <w:r>
        <w:rPr>
          <w:rFonts w:hint="eastAsia" w:ascii="Times New Roman" w:hAnsi="Times New Roman" w:eastAsia="仿宋_GB2312" w:cs="Times New Roman"/>
          <w:sz w:val="32"/>
          <w:szCs w:val="32"/>
          <w:lang w:val="en-US" w:eastAsia="zh-CN"/>
        </w:rPr>
        <w:t>不足</w:t>
      </w:r>
      <w:r>
        <w:rPr>
          <w:rFonts w:ascii="Times New Roman" w:hAnsi="Times New Roman" w:eastAsia="仿宋_GB2312" w:cs="Times New Roman"/>
          <w:sz w:val="32"/>
          <w:szCs w:val="32"/>
        </w:rPr>
        <w:t>。决算数大于上年数的主要原因是公务接待费支出</w:t>
      </w:r>
      <w:r>
        <w:rPr>
          <w:rFonts w:hint="eastAsia" w:ascii="Times New Roman" w:hAnsi="Times New Roman" w:eastAsia="仿宋_GB2312" w:cs="Times New Roman"/>
          <w:sz w:val="32"/>
          <w:szCs w:val="32"/>
          <w:lang w:val="en-US" w:eastAsia="zh-CN"/>
        </w:rPr>
        <w:t>增加</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140</w:t>
      </w:r>
      <w:r>
        <w:rPr>
          <w:rFonts w:ascii="Times New Roman" w:hAnsi="Times New Roman" w:eastAsia="仿宋_GB2312" w:cs="Times New Roman"/>
          <w:sz w:val="32"/>
          <w:szCs w:val="32"/>
        </w:rPr>
        <w:t>人次，主要是</w:t>
      </w:r>
      <w:r>
        <w:rPr>
          <w:rFonts w:ascii="仿宋_GB2312" w:hAnsi="仿宋_GB2312" w:eastAsia="仿宋_GB2312" w:cs="仿宋_GB2312"/>
          <w:color w:val="000000"/>
          <w:kern w:val="0"/>
          <w:sz w:val="31"/>
          <w:szCs w:val="31"/>
          <w:lang w:val="en-US" w:eastAsia="zh-CN" w:bidi="ar"/>
        </w:rPr>
        <w:t>市安委办来我区督察、检查安全生产工作，市森防办来检查指导森林防灭火工作和市减灾委督导、检查防灾减灾救灾工作等发生的接待支出。</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4"/>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22.53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比年初预算数减少</w:t>
      </w:r>
      <w:r>
        <w:rPr>
          <w:rFonts w:hint="eastAsia" w:ascii="仿宋_GB2312" w:hAnsi="仿宋_GB2312" w:eastAsia="仿宋_GB2312" w:cs="仿宋_GB2312"/>
          <w:sz w:val="32"/>
          <w:szCs w:val="32"/>
          <w:highlight w:val="none"/>
          <w:lang w:val="en-US" w:eastAsia="zh-CN"/>
        </w:rPr>
        <w:t>2.41</w:t>
      </w:r>
      <w:r>
        <w:rPr>
          <w:rFonts w:hint="eastAsia" w:ascii="仿宋_GB2312" w:hAnsi="仿宋_GB2312" w:eastAsia="仿宋_GB2312" w:cs="仿宋_GB2312"/>
          <w:sz w:val="32"/>
          <w:szCs w:val="32"/>
          <w:highlight w:val="none"/>
        </w:rPr>
        <w:t>万元，降低</w:t>
      </w:r>
      <w:r>
        <w:rPr>
          <w:rFonts w:hint="eastAsia" w:ascii="仿宋_GB2312" w:hAnsi="仿宋_GB2312" w:eastAsia="仿宋_GB2312" w:cs="仿宋_GB2312"/>
          <w:sz w:val="32"/>
          <w:szCs w:val="32"/>
          <w:highlight w:val="none"/>
          <w:lang w:val="en-US" w:eastAsia="zh-CN"/>
        </w:rPr>
        <w:t>9.66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人员退休。</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本单位无会议费的预算和支出决算数。</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本单位无培训费的预算和支出决算数。</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本单位无举办节庆、晚会、论坛、赛事等活动的预算和支出决算数。</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color w:val="auto"/>
          <w:sz w:val="32"/>
          <w:szCs w:val="32"/>
          <w:lang w:val="en-US" w:eastAsia="zh-CN"/>
        </w:rPr>
        <w:t>截至2024年12月31日，本单位共有车辆0辆，其中，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r>
        <w:rPr>
          <w:rFonts w:hint="eastAsia" w:ascii="仿宋_GB2312" w:hAnsi="仿宋_GB2312" w:eastAsia="仿宋_GB2312" w:cs="仿宋_GB2312"/>
          <w:color w:val="auto"/>
          <w:sz w:val="32"/>
          <w:szCs w:val="32"/>
          <w:lang w:eastAsia="zh-CN"/>
        </w:rPr>
        <w:t>。</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50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50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8.11</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w:t>
      </w:r>
    </w:p>
    <w:p>
      <w:pPr>
        <w:overflowPunct w:val="0"/>
        <w:spacing w:line="600" w:lineRule="exact"/>
        <w:ind w:firstLine="640" w:firstLineChars="200"/>
        <w:rPr>
          <w:rFonts w:hint="eastAsia" w:ascii="Times New Roman" w:hAnsi="Times New Roman" w:eastAsia="仿宋_GB2312" w:cs="Times New Roman"/>
          <w:color w:val="FF0000"/>
          <w:kern w:val="0"/>
          <w:sz w:val="32"/>
          <w:szCs w:val="32"/>
          <w:lang w:eastAsia="zh-CN"/>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r>
        <w:rPr>
          <w:rFonts w:hint="eastAsia" w:ascii="Times New Roman" w:hAnsi="Times New Roman" w:eastAsia="仿宋_GB2312" w:cs="Times New Roman"/>
          <w:kern w:val="0"/>
          <w:sz w:val="32"/>
          <w:szCs w:val="32"/>
          <w:highlight w:val="none"/>
          <w:lang w:val="en-US" w:eastAsia="zh-CN"/>
        </w:rPr>
        <w:t>本单位及所属单位本年度未开展项目，所以无部门评价开展情况。</w:t>
      </w:r>
    </w:p>
    <w:p>
      <w:pPr>
        <w:overflowPunct w:val="0"/>
        <w:spacing w:line="600" w:lineRule="exact"/>
        <w:ind w:firstLine="640" w:firstLineChars="200"/>
        <w:rPr>
          <w:rFonts w:ascii="Times New Roman" w:hAnsi="Times New Roman" w:eastAsia="楷体" w:cs="Times New Roman"/>
          <w:b/>
          <w:bCs/>
          <w:sz w:val="32"/>
          <w:szCs w:val="32"/>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Times New Roman" w:hAnsi="Times New Roman" w:eastAsia="仿宋_GB2312" w:cs="Times New Roman"/>
          <w:kern w:val="0"/>
          <w:sz w:val="32"/>
          <w:szCs w:val="32"/>
          <w:highlight w:val="none"/>
          <w:lang w:val="en-US" w:eastAsia="zh-CN"/>
        </w:rPr>
        <w:t>本单位及所属单位本年度未新增重大政策和重大项目，所以无事前绩效评估开展情况。</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643.67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643.67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检查企业数量121次</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安全生产应急演练参训率</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。发现的主要问题及原因：一是</w:t>
      </w:r>
      <w:r>
        <w:rPr>
          <w:rFonts w:hint="eastAsia" w:ascii="方正仿宋_GB2312" w:hAnsi="方正仿宋_GB2312" w:eastAsia="方正仿宋_GB2312" w:cs="方正仿宋_GB2312"/>
          <w:color w:val="000000"/>
          <w:kern w:val="0"/>
          <w:sz w:val="32"/>
          <w:szCs w:val="32"/>
          <w:lang w:val="en-US" w:eastAsia="zh-CN" w:bidi="ar"/>
        </w:rPr>
        <w:t>资金预算编制水平有待提高，预算执行力度需进一步加强</w:t>
      </w:r>
      <w:r>
        <w:rPr>
          <w:rFonts w:ascii="Times New Roman" w:hAnsi="Times New Roman" w:eastAsia="仿宋_GB2312" w:cs="Times New Roman"/>
          <w:sz w:val="32"/>
          <w:szCs w:val="32"/>
        </w:rPr>
        <w:t>；二是</w:t>
      </w:r>
      <w:r>
        <w:rPr>
          <w:rFonts w:hint="eastAsia" w:ascii="方正仿宋_GB2312" w:hAnsi="方正仿宋_GB2312" w:eastAsia="方正仿宋_GB2312" w:cs="方正仿宋_GB2312"/>
          <w:color w:val="000000"/>
          <w:kern w:val="0"/>
          <w:sz w:val="32"/>
          <w:szCs w:val="32"/>
          <w:lang w:val="en-US" w:eastAsia="zh-CN" w:bidi="ar"/>
        </w:rPr>
        <w:t>绩效管理目标的设定不够细化、量化</w:t>
      </w:r>
      <w:r>
        <w:rPr>
          <w:rFonts w:ascii="Times New Roman" w:hAnsi="Times New Roman" w:eastAsia="仿宋_GB2312" w:cs="Times New Roman"/>
          <w:sz w:val="32"/>
          <w:szCs w:val="32"/>
        </w:rPr>
        <w:t>。下一步改进措施：一是</w:t>
      </w:r>
      <w:r>
        <w:rPr>
          <w:rFonts w:hint="eastAsia" w:ascii="方正仿宋_GB2312" w:hAnsi="方正仿宋_GB2312" w:eastAsia="方正仿宋_GB2312" w:cs="方正仿宋_GB2312"/>
          <w:color w:val="000000"/>
          <w:kern w:val="0"/>
          <w:sz w:val="32"/>
          <w:szCs w:val="32"/>
          <w:lang w:val="en-US" w:eastAsia="zh-CN" w:bidi="ar"/>
        </w:rPr>
        <w:t>强化预算编制意识，严格按照预算编制的相关制度和要求做好预算编制工作</w:t>
      </w:r>
      <w:r>
        <w:rPr>
          <w:rFonts w:ascii="Times New Roman" w:hAnsi="Times New Roman" w:eastAsia="仿宋_GB2312" w:cs="Times New Roman"/>
          <w:sz w:val="32"/>
          <w:szCs w:val="32"/>
        </w:rPr>
        <w:t>；二是</w:t>
      </w:r>
      <w:r>
        <w:rPr>
          <w:rFonts w:hint="eastAsia" w:ascii="方正仿宋_GB2312" w:hAnsi="方正仿宋_GB2312" w:eastAsia="方正仿宋_GB2312" w:cs="方正仿宋_GB2312"/>
          <w:color w:val="000000"/>
          <w:kern w:val="0"/>
          <w:sz w:val="32"/>
          <w:szCs w:val="32"/>
          <w:lang w:val="en-US" w:eastAsia="zh-CN" w:bidi="ar"/>
        </w:rPr>
        <w:t>细化绩效目标，定性指标与定量指标均衡设置</w:t>
      </w:r>
      <w:r>
        <w:rPr>
          <w:rFonts w:ascii="Times New Roman" w:hAnsi="Times New Roman" w:eastAsia="仿宋_GB2312" w:cs="Times New Roman"/>
          <w:sz w:val="32"/>
          <w:szCs w:val="32"/>
        </w:rPr>
        <w:t>。</w:t>
      </w:r>
    </w:p>
    <w:p>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kern w:val="0"/>
          <w:sz w:val="32"/>
          <w:szCs w:val="32"/>
          <w:highlight w:val="none"/>
          <w:lang w:val="en-US" w:eastAsia="zh-CN"/>
        </w:rPr>
        <w:t>本单位及所属单位本年度未开展部门评价，所以无部门评价结果。</w:t>
      </w:r>
    </w:p>
    <w:p>
      <w:pPr>
        <w:overflowPunct w:val="0"/>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Times New Roman" w:hAnsi="Times New Roman" w:eastAsia="仿宋_GB2312" w:cs="Times New Roman"/>
          <w:kern w:val="0"/>
          <w:sz w:val="32"/>
          <w:szCs w:val="32"/>
          <w:highlight w:val="none"/>
          <w:lang w:val="en-US" w:eastAsia="zh-CN"/>
        </w:rPr>
        <w:t>本单位及所属单位本年度未开展事前绩效评估，所以无事前绩效评估结果。</w:t>
      </w:r>
    </w:p>
    <w:p>
      <w:pPr>
        <w:numPr>
          <w:ilvl w:val="0"/>
          <w:numId w:val="1"/>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pPr>
        <w:autoSpaceDE w:val="0"/>
        <w:autoSpaceDN w:val="0"/>
        <w:adjustRightInd w:val="0"/>
        <w:ind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Times New Roman" w:hAnsi="Times New Roman" w:eastAsia="仿宋_GB2312" w:cs="Times New Roman"/>
          <w:color w:val="auto"/>
          <w:sz w:val="32"/>
          <w:szCs w:val="32"/>
          <w:highlight w:val="none"/>
        </w:rPr>
        <w:t>本单位预算执行情况较好，对全区</w:t>
      </w:r>
      <w:r>
        <w:rPr>
          <w:rFonts w:hint="eastAsia" w:ascii="Times New Roman" w:hAnsi="Times New Roman" w:eastAsia="仿宋_GB2312" w:cs="Times New Roman"/>
          <w:color w:val="auto"/>
          <w:sz w:val="32"/>
          <w:szCs w:val="32"/>
          <w:highlight w:val="none"/>
          <w:lang w:val="en-US" w:eastAsia="zh-CN"/>
        </w:rPr>
        <w:t>企业</w:t>
      </w:r>
      <w:r>
        <w:rPr>
          <w:rFonts w:hint="eastAsia" w:ascii="Times New Roman" w:hAnsi="Times New Roman" w:eastAsia="仿宋_GB2312" w:cs="Times New Roman"/>
          <w:color w:val="auto"/>
          <w:sz w:val="32"/>
          <w:szCs w:val="32"/>
          <w:highlight w:val="none"/>
        </w:rPr>
        <w:t>进行</w:t>
      </w:r>
      <w:r>
        <w:rPr>
          <w:rFonts w:hint="eastAsia" w:ascii="Times New Roman" w:hAnsi="Times New Roman" w:eastAsia="仿宋_GB2312" w:cs="Times New Roman"/>
          <w:color w:val="auto"/>
          <w:sz w:val="32"/>
          <w:szCs w:val="32"/>
          <w:highlight w:val="none"/>
          <w:lang w:val="en-US" w:eastAsia="zh-CN"/>
        </w:rPr>
        <w:t>安全生产</w:t>
      </w:r>
      <w:r>
        <w:rPr>
          <w:rFonts w:hint="eastAsia" w:ascii="Times New Roman" w:hAnsi="Times New Roman" w:eastAsia="仿宋_GB2312" w:cs="Times New Roman"/>
          <w:color w:val="auto"/>
          <w:sz w:val="32"/>
          <w:szCs w:val="32"/>
          <w:highlight w:val="none"/>
        </w:rPr>
        <w:t>监督管理，</w:t>
      </w:r>
      <w:r>
        <w:rPr>
          <w:rFonts w:hint="eastAsia" w:ascii="Times New Roman" w:hAnsi="Times New Roman" w:eastAsia="仿宋_GB2312" w:cs="Times New Roman"/>
          <w:color w:val="auto"/>
          <w:sz w:val="32"/>
          <w:szCs w:val="32"/>
          <w:highlight w:val="none"/>
          <w:lang w:val="en-US" w:eastAsia="zh-CN"/>
        </w:rPr>
        <w:t>检查企业121次；开展培训宣传和演练活动，参训</w:t>
      </w:r>
      <w:r>
        <w:rPr>
          <w:rFonts w:hint="eastAsia" w:ascii="Times New Roman" w:hAnsi="Times New Roman" w:eastAsia="仿宋_GB2312" w:cs="Times New Roman"/>
          <w:color w:val="auto"/>
          <w:sz w:val="32"/>
          <w:szCs w:val="32"/>
          <w:highlight w:val="none"/>
        </w:rPr>
        <w:t>率</w:t>
      </w:r>
      <w:r>
        <w:rPr>
          <w:rFonts w:hint="eastAsia" w:ascii="Times New Roman" w:hAnsi="Times New Roman" w:eastAsia="仿宋_GB2312" w:cs="Times New Roman"/>
          <w:color w:val="auto"/>
          <w:sz w:val="32"/>
          <w:szCs w:val="32"/>
          <w:highlight w:val="none"/>
          <w:lang w:val="en-US" w:eastAsia="zh-CN"/>
        </w:rPr>
        <w:t>和满意度</w:t>
      </w:r>
      <w:r>
        <w:rPr>
          <w:rFonts w:hint="eastAsia" w:ascii="Times New Roman" w:hAnsi="Times New Roman" w:eastAsia="仿宋_GB2312" w:cs="Times New Roman"/>
          <w:color w:val="auto"/>
          <w:sz w:val="32"/>
          <w:szCs w:val="32"/>
          <w:highlight w:val="none"/>
        </w:rPr>
        <w:t>达到98%以上，全区</w:t>
      </w:r>
      <w:r>
        <w:rPr>
          <w:rFonts w:hint="eastAsia" w:ascii="Times New Roman" w:hAnsi="Times New Roman" w:eastAsia="仿宋_GB2312" w:cs="Times New Roman"/>
          <w:color w:val="auto"/>
          <w:sz w:val="32"/>
          <w:szCs w:val="32"/>
          <w:highlight w:val="none"/>
          <w:lang w:val="en-US" w:eastAsia="zh-CN"/>
        </w:rPr>
        <w:t>安全生产氛围</w:t>
      </w:r>
      <w:r>
        <w:rPr>
          <w:rFonts w:hint="eastAsia" w:ascii="Times New Roman" w:hAnsi="Times New Roman" w:eastAsia="仿宋_GB2312" w:cs="Times New Roman"/>
          <w:color w:val="auto"/>
          <w:sz w:val="32"/>
          <w:szCs w:val="32"/>
          <w:highlight w:val="none"/>
        </w:rPr>
        <w:t>良好，</w:t>
      </w:r>
      <w:r>
        <w:rPr>
          <w:rFonts w:hint="eastAsia" w:ascii="Times New Roman" w:hAnsi="Times New Roman" w:eastAsia="仿宋_GB2312" w:cs="Times New Roman"/>
          <w:color w:val="auto"/>
          <w:sz w:val="32"/>
          <w:szCs w:val="32"/>
          <w:highlight w:val="none"/>
          <w:lang w:val="en-US" w:eastAsia="zh-CN"/>
        </w:rPr>
        <w:t>未发生一起较大安全生产事故</w:t>
      </w:r>
      <w:r>
        <w:rPr>
          <w:rFonts w:hint="eastAsia" w:ascii="Times New Roman" w:hAnsi="Times New Roman" w:eastAsia="仿宋_GB2312" w:cs="Times New Roman"/>
          <w:color w:val="auto"/>
          <w:sz w:val="32"/>
          <w:szCs w:val="32"/>
          <w:highlight w:val="none"/>
        </w:rPr>
        <w:t>。同时按时按质按量执行了年初绩效目标，具体来看，各项工资、社保费用如期支付，按时缴纳；各项项目经费全额使用，且专款专用于</w:t>
      </w:r>
      <w:r>
        <w:rPr>
          <w:rFonts w:hint="eastAsia" w:ascii="Times New Roman" w:hAnsi="Times New Roman" w:eastAsia="仿宋_GB2312" w:cs="Times New Roman"/>
          <w:color w:val="auto"/>
          <w:sz w:val="32"/>
          <w:szCs w:val="32"/>
          <w:highlight w:val="none"/>
          <w:lang w:val="en-US" w:eastAsia="zh-CN"/>
        </w:rPr>
        <w:t>安全生产</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防汛救灾</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森林防灭火</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消防设施建设</w:t>
      </w:r>
      <w:r>
        <w:rPr>
          <w:rFonts w:hint="eastAsia" w:ascii="Times New Roman" w:hAnsi="Times New Roman" w:eastAsia="仿宋_GB2312" w:cs="Times New Roman"/>
          <w:color w:val="auto"/>
          <w:sz w:val="32"/>
          <w:szCs w:val="32"/>
          <w:highlight w:val="none"/>
        </w:rPr>
        <w:t>等领域，财务规范性较好，安全风险较小。</w:t>
      </w:r>
    </w:p>
    <w:p>
      <w:pPr>
        <w:pStyle w:val="14"/>
        <w:ind w:firstLine="640" w:firstLineChars="200"/>
        <w:jc w:val="both"/>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预算绩效管理开展情况、绩效目标和绩效评价报告等，已在市政府部门财政预决算公开平台上向社会公开，详见附件。</w:t>
      </w:r>
    </w:p>
    <w:p>
      <w:pPr>
        <w:pStyle w:val="14"/>
        <w:jc w:val="both"/>
        <w:rPr>
          <w:rFonts w:hint="eastAsia" w:ascii="方正小标宋_GBK" w:hAnsi="方正小标宋_GBK" w:eastAsia="方正小标宋_GBK" w:cs="方正小标宋_GBK"/>
          <w:sz w:val="72"/>
          <w:szCs w:val="72"/>
        </w:rPr>
      </w:pPr>
    </w:p>
    <w:p>
      <w:pPr>
        <w:pStyle w:val="14"/>
        <w:jc w:val="both"/>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sz w:val="72"/>
          <w:szCs w:val="72"/>
        </w:rPr>
        <w:t>第四部分</w:t>
      </w:r>
    </w:p>
    <w:p>
      <w:pPr>
        <w:pStyle w:val="14"/>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pStyle w:val="14"/>
        <w:jc w:val="center"/>
        <w:rPr>
          <w:rFonts w:hint="eastAsia" w:ascii="方正小标宋_GBK" w:hAnsi="方正小标宋_GBK" w:eastAsia="方正小标宋_GBK" w:cs="方正小标宋_GBK"/>
          <w:color w:val="000000"/>
          <w:kern w:val="0"/>
          <w:sz w:val="70"/>
          <w:szCs w:val="70"/>
        </w:rPr>
      </w:pPr>
    </w:p>
    <w:p>
      <w:pPr>
        <w:pStyle w:val="14"/>
        <w:jc w:val="center"/>
        <w:rPr>
          <w:rFonts w:hint="eastAsia" w:ascii="方正小标宋_GBK" w:hAnsi="方正小标宋_GBK" w:eastAsia="方正小标宋_GBK" w:cs="方正小标宋_GBK"/>
          <w:color w:val="000000"/>
          <w:kern w:val="0"/>
          <w:sz w:val="70"/>
          <w:szCs w:val="70"/>
        </w:rPr>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三、财政拨款收入：指本级财政当年拨付的资金。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四、其他收入：指除上述“财政拨款收入”、“上级补助收入”、“事业收入”、“经营收入”、“附属单位上缴收入”等以外的收入。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五、上年结转和结余：指以前年度尚未完成、结转到本年按有关规定继续使用的资金。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六、年末结转和结余资金：指本年度或以前年度预算安排、因客观条件发生变化无法按原计划实施，需要延迟到以后年度按有关规定继续使用的资金。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七、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八、公共安全支出（类）：是指用于内卫、消防等武装警察部队的支出，包括保障机构正常运转、完成日常和特定的工作任务或事业发展目标的支出。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九、文化体育与传媒支出（类）：是指用于文化、文物、体育、新闻出版广播影视等方面的支出，包括保障机构正常运转、完成日常和特定的工作任务或事业发展目标的支出。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十一、基本支出：指保障机构正常运转、完成支日常工作任务而发生的人员支出和公用支出。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十二、项目支出：指在基本支出之外为完成特定行政任务和事业发展目标所发生的支出。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十三、工资福利支出：反映单位开支的在职职工和编制外长期聘用人员的各类劳动报酬，以及为上述人员缴纳的各项社会保险费等。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四、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津贴补贴：反映经国家批准建立的机关事业单位艰苦边远地区津贴、机关工作人员地区附加津贴、机关工作人员岗位津贴、事业单位工作人员特殊岗位津贴补贴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十五、奖金：反映机关工作人员年终一次性奖金。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十六、其他社会保障缴费：反映单位为职工缴纳的基本医疗、失业、工伤、生育等社会保险费，残疾人就业保障金，军队（含武警）为军人缴纳的伤亡、退役医疗等社会保险费。</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十七、伙食补助费：反映单位发给职工的伙食补助费，如误餐补助等。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十八、机关事业单位基本养老保险缴费：反映机关事业单位缴纳的基本养老保险费。由单位代扣的工作人员基本养老保险缴费，不在此科目反映。</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九、职业年金缴费：反映机关事业单位实际缴纳的职业年金支出。由单位代扣的工作人员职业年金缴费，不在此科目反映。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二十、商品和服务支出：反映单位购买商品和服务的支出（不包括用于购置固定资产的支出、战略性和应急储备支出）。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二十一、办公费：反映单位购买按财务会计制度规定不符合固定资产确认标准的日常办公用品、书报杂志等支出。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二十二、印刷费：反映单位的印刷费支出。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二十三、水费：反映单位支付的水费、污水处理费等支出。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二十四、电费：反映单位的电费支出。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二十五、邮电费：反映单位开支的信函、包裹、货物等物品的邮寄费及电话费、电报费、传真费、网络通讯费等。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二十六、物业管理费：反映单位开支的办公用房以及未实行职工住宅物业服务改革的在职职工和离退休人员宿舍等的物业管理费，包括综合治理、绿化、卫生等方面的支出。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二十七、差旅费：反映单位工作人员出差发生的城市间交通费、住宿费、伙食补贴费和市内交通费。</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二十八、维修(护)费：反映单位日常开支的固定资产（不包括车船等交通工具）修理和维护费用，网络信息系统运行与维护费用，以及按规定提取的修购基金。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二十九、会议费：反映会议中按规定开支的住宿费、伙食费、会议室租金、交通费、文件印刷费、医药费等。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三十、培训费：反映除因公出国（境）培训费以外的各类培训支出。公务接待费：反映单位按规定开支的各类公务接待（含外宾接待）费用。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三十一、工会经费：反映单位按规定提取的工会经费。</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三十二、福利费：反映单位按规定提取的福利费。</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三十三、公务用车运行维护费：反映单位按规定保留的公务用车燃料费、维修费、过桥过路费、保险费、安全奖励费用等支出。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三十四、其他交通费用：反映单位除公务用车运行维护费以外的其他交通费用。如公务交通补贴，租车费用、出租车费用，飞机、船舶等的燃料费、维修费、保险费等。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三十五、其他商品和服务支出：反映上述科目未包括的日常公用支出。如行政赔偿费和诉讼费、国内组织的会员费、来访费、广告宣传、其他劳务费及离休人员特需费、公用经费等。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三十六、对个人和家庭的补助：反映政府用于对个人和家庭的补助支出。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三十七、抚恤金：反映按规定开支的烈士遗属、牺牲病故人员遗属的一次性和定期抚恤金，伤残人员的抚恤金，离退休人员等其他人员的各项抚恤金。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三十八、其他资本性支出：反映发展与改革部门以外的其他部门安排的用于购置固定资产、战略性和应急性储备、土地和无形资产，以及购建基础设施、大型修缮和财政支持企业更新改造所发生的支出。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方正小标宋_GBK" w:hAnsi="方正小标宋_GBK" w:eastAsia="方正小标宋_GBK" w:cs="方正小标宋_GBK"/>
          <w:sz w:val="72"/>
          <w:szCs w:val="72"/>
        </w:rPr>
      </w:pPr>
      <w:r>
        <w:rPr>
          <w:rFonts w:hint="eastAsia" w:ascii="仿宋_GB2312" w:hAnsi="仿宋_GB2312" w:eastAsia="仿宋_GB2312" w:cs="仿宋_GB2312"/>
          <w:color w:val="000000"/>
          <w:kern w:val="0"/>
          <w:sz w:val="32"/>
          <w:szCs w:val="32"/>
          <w:lang w:val="en-US" w:eastAsia="zh-CN" w:bidi="ar-SA"/>
        </w:rPr>
        <w:t>三十九、办公设备购置：反映用于购置并按财务会计制度规定纳入固定资产核算范围的办公家具和办公设备的支出，以及按规定提取的修购基金。</w:t>
      </w: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bookmarkEnd w:id="0"/>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56E04D-BA59-4D32-9F34-A0C7FF15F9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9C0DAD28-9654-4AE2-A1F9-C2431585E25C}"/>
  </w:font>
  <w:font w:name="仿宋_GB2312">
    <w:altName w:val="仿宋"/>
    <w:panose1 w:val="02010609030101010101"/>
    <w:charset w:val="86"/>
    <w:family w:val="modern"/>
    <w:pitch w:val="default"/>
    <w:sig w:usb0="00000000" w:usb1="00000000" w:usb2="00000000" w:usb3="00000000" w:csb0="00040000" w:csb1="00000000"/>
    <w:embedRegular r:id="rId3" w:fontKey="{1908A527-EB15-4388-AC23-D04F0B8953CF}"/>
  </w:font>
  <w:font w:name="方正仿宋_GB2312">
    <w:panose1 w:val="02000000000000000000"/>
    <w:charset w:val="86"/>
    <w:family w:val="auto"/>
    <w:pitch w:val="default"/>
    <w:sig w:usb0="A00002BF" w:usb1="184F6CFA" w:usb2="00000012" w:usb3="00000000" w:csb0="00040001" w:csb1="00000000"/>
    <w:embedRegular r:id="rId4" w:fontKey="{A4EF50E8-4CF6-47B9-B0B6-BAD207F23C02}"/>
  </w:font>
  <w:font w:name="楷体_GB2312">
    <w:altName w:val="楷体"/>
    <w:panose1 w:val="02010609030101010101"/>
    <w:charset w:val="86"/>
    <w:family w:val="modern"/>
    <w:pitch w:val="default"/>
    <w:sig w:usb0="00000000" w:usb1="00000000" w:usb2="00000000" w:usb3="00000000" w:csb0="00040000" w:csb1="00000000"/>
    <w:embedRegular r:id="rId5" w:fontKey="{96B88315-2C4F-4AC4-8D0E-85315F05E57C}"/>
  </w:font>
  <w:font w:name="楷体">
    <w:panose1 w:val="02010609060101010101"/>
    <w:charset w:val="86"/>
    <w:family w:val="auto"/>
    <w:pitch w:val="default"/>
    <w:sig w:usb0="800002BF" w:usb1="38CF7CFA" w:usb2="00000016" w:usb3="00000000" w:csb0="00040001" w:csb1="00000000"/>
    <w:embedRegular r:id="rId6" w:fontKey="{DDF57E1A-6DB0-40A5-AE86-A0FF8D324A83}"/>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MTZmYjVlYTI5ODEwZTIzMDc2YzU0OTk5ZmJjNTU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51509F"/>
    <w:rsid w:val="06C857E7"/>
    <w:rsid w:val="08C24A73"/>
    <w:rsid w:val="11944E2C"/>
    <w:rsid w:val="12583BA5"/>
    <w:rsid w:val="13BA5B9C"/>
    <w:rsid w:val="1D97DEFF"/>
    <w:rsid w:val="1DFF72E5"/>
    <w:rsid w:val="1EFC6F07"/>
    <w:rsid w:val="1F0527A6"/>
    <w:rsid w:val="22AC03C2"/>
    <w:rsid w:val="283B15FE"/>
    <w:rsid w:val="2D2500D2"/>
    <w:rsid w:val="2FDF85B8"/>
    <w:rsid w:val="2FFFEE04"/>
    <w:rsid w:val="31C95635"/>
    <w:rsid w:val="32F838FA"/>
    <w:rsid w:val="338022EA"/>
    <w:rsid w:val="34DF85B0"/>
    <w:rsid w:val="3B8F36BC"/>
    <w:rsid w:val="3D2A34E3"/>
    <w:rsid w:val="43EB5BA5"/>
    <w:rsid w:val="45A74AC0"/>
    <w:rsid w:val="477B5F15"/>
    <w:rsid w:val="491FF225"/>
    <w:rsid w:val="4AC10480"/>
    <w:rsid w:val="4EC310A1"/>
    <w:rsid w:val="4FFD214C"/>
    <w:rsid w:val="5352765A"/>
    <w:rsid w:val="5777D4F5"/>
    <w:rsid w:val="57F22B6F"/>
    <w:rsid w:val="58480EFC"/>
    <w:rsid w:val="59DD8326"/>
    <w:rsid w:val="5DEF592A"/>
    <w:rsid w:val="5FC6BB1E"/>
    <w:rsid w:val="5FF720F1"/>
    <w:rsid w:val="622964C1"/>
    <w:rsid w:val="626400B9"/>
    <w:rsid w:val="63B27CC7"/>
    <w:rsid w:val="65414F7C"/>
    <w:rsid w:val="654900FB"/>
    <w:rsid w:val="67FF5C0B"/>
    <w:rsid w:val="6BAA4A2F"/>
    <w:rsid w:val="6DDEC5C0"/>
    <w:rsid w:val="6E597A7A"/>
    <w:rsid w:val="6E751C40"/>
    <w:rsid w:val="6ED21161"/>
    <w:rsid w:val="6EFC0924"/>
    <w:rsid w:val="6F241291"/>
    <w:rsid w:val="6FB74722"/>
    <w:rsid w:val="6FEF8B7E"/>
    <w:rsid w:val="717FE77F"/>
    <w:rsid w:val="71A6591B"/>
    <w:rsid w:val="737D59BA"/>
    <w:rsid w:val="737F32B1"/>
    <w:rsid w:val="73BD3FCA"/>
    <w:rsid w:val="73EA2E5D"/>
    <w:rsid w:val="77244912"/>
    <w:rsid w:val="77554364"/>
    <w:rsid w:val="776BDA01"/>
    <w:rsid w:val="77C37683"/>
    <w:rsid w:val="79FF515B"/>
    <w:rsid w:val="7CC207D7"/>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3"/>
    <w:autoRedefine/>
    <w:semiHidden/>
    <w:qFormat/>
    <w:uiPriority w:val="0"/>
    <w:pPr>
      <w:snapToGrid w:val="0"/>
      <w:jc w:val="left"/>
    </w:pPr>
    <w:rPr>
      <w:sz w:val="18"/>
      <w:szCs w:val="18"/>
    </w:rPr>
  </w:style>
  <w:style w:type="paragraph" w:styleId="3">
    <w:name w:val="Body Text First Indent 2"/>
    <w:basedOn w:val="4"/>
    <w:next w:val="1"/>
    <w:autoRedefine/>
    <w:unhideWhenUsed/>
    <w:qFormat/>
    <w:uiPriority w:val="99"/>
    <w:pPr>
      <w:ind w:firstLine="420" w:firstLineChars="200"/>
    </w:pPr>
  </w:style>
  <w:style w:type="paragraph" w:styleId="4">
    <w:name w:val="Body Text Indent"/>
    <w:basedOn w:val="1"/>
    <w:next w:val="3"/>
    <w:autoRedefine/>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autoRedefine/>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6">
    <w:name w:val="Balloon Text"/>
    <w:basedOn w:val="1"/>
    <w:link w:val="16"/>
    <w:autoRedefine/>
    <w:semiHidden/>
    <w:unhideWhenUsed/>
    <w:qFormat/>
    <w:uiPriority w:val="99"/>
    <w:rPr>
      <w:sz w:val="18"/>
      <w:szCs w:val="18"/>
    </w:rPr>
  </w:style>
  <w:style w:type="paragraph" w:styleId="7">
    <w:name w:val="footer"/>
    <w:basedOn w:val="1"/>
    <w:link w:val="13"/>
    <w:autoRedefine/>
    <w:unhideWhenUsed/>
    <w:qFormat/>
    <w:uiPriority w:val="99"/>
    <w:pPr>
      <w:tabs>
        <w:tab w:val="center" w:pos="4153"/>
        <w:tab w:val="right" w:pos="8306"/>
      </w:tabs>
      <w:snapToGrid w:val="0"/>
      <w:jc w:val="left"/>
    </w:pPr>
    <w:rPr>
      <w:sz w:val="18"/>
      <w:szCs w:val="18"/>
    </w:rPr>
  </w:style>
  <w:style w:type="paragraph" w:styleId="8">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autoRedefine/>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1"/>
      <w:lang w:val="en-US" w:eastAsia="zh-CN" w:bidi="ar"/>
    </w:rPr>
  </w:style>
  <w:style w:type="character" w:customStyle="1" w:styleId="12">
    <w:name w:val="页眉 Char"/>
    <w:basedOn w:val="11"/>
    <w:link w:val="8"/>
    <w:autoRedefine/>
    <w:qFormat/>
    <w:uiPriority w:val="99"/>
    <w:rPr>
      <w:sz w:val="18"/>
      <w:szCs w:val="18"/>
    </w:rPr>
  </w:style>
  <w:style w:type="character" w:customStyle="1" w:styleId="13">
    <w:name w:val="页脚 Char"/>
    <w:basedOn w:val="11"/>
    <w:link w:val="7"/>
    <w:autoRedefine/>
    <w:qFormat/>
    <w:uiPriority w:val="99"/>
    <w:rPr>
      <w:sz w:val="18"/>
      <w:szCs w:val="18"/>
    </w:rPr>
  </w:style>
  <w:style w:type="paragraph" w:customStyle="1" w:styleId="14">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autoRedefine/>
    <w:qFormat/>
    <w:uiPriority w:val="34"/>
    <w:pPr>
      <w:ind w:firstLine="420" w:firstLineChars="200"/>
    </w:pPr>
  </w:style>
  <w:style w:type="character" w:customStyle="1" w:styleId="16">
    <w:name w:val="批注框文本 Char"/>
    <w:basedOn w:val="11"/>
    <w:link w:val="6"/>
    <w:autoRedefine/>
    <w:semiHidden/>
    <w:qFormat/>
    <w:uiPriority w:val="99"/>
    <w:rPr>
      <w:sz w:val="18"/>
      <w:szCs w:val="18"/>
    </w:rPr>
  </w:style>
  <w:style w:type="character" w:customStyle="1" w:styleId="17">
    <w:name w:val="font01"/>
    <w:basedOn w:val="11"/>
    <w:autoRedefine/>
    <w:qFormat/>
    <w:uiPriority w:val="0"/>
    <w:rPr>
      <w:rFonts w:hint="eastAsia" w:ascii="宋体" w:hAnsi="宋体" w:eastAsia="宋体" w:cs="宋体"/>
      <w:color w:val="000000"/>
      <w:sz w:val="22"/>
      <w:szCs w:val="22"/>
      <w:u w:val="none"/>
    </w:rPr>
  </w:style>
  <w:style w:type="character" w:customStyle="1" w:styleId="18">
    <w:name w:val="font21"/>
    <w:basedOn w:val="11"/>
    <w:autoRedefine/>
    <w:qFormat/>
    <w:uiPriority w:val="0"/>
    <w:rPr>
      <w:rFonts w:hint="eastAsia" w:ascii="宋体" w:hAnsi="宋体" w:eastAsia="宋体" w:cs="宋体"/>
      <w:color w:val="000000"/>
      <w:sz w:val="24"/>
      <w:szCs w:val="24"/>
      <w:u w:val="none"/>
    </w:rPr>
  </w:style>
  <w:style w:type="character" w:customStyle="1" w:styleId="19">
    <w:name w:val="font11"/>
    <w:basedOn w:val="1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1347</Words>
  <Characters>7679</Characters>
  <Lines>63</Lines>
  <Paragraphs>18</Paragraphs>
  <TotalTime>24</TotalTime>
  <ScaleCrop>false</ScaleCrop>
  <LinksUpToDate>false</LinksUpToDate>
  <CharactersWithSpaces>9008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狄姣玉</cp:lastModifiedBy>
  <cp:lastPrinted>2024-08-11T02:20:00Z</cp:lastPrinted>
  <dcterms:modified xsi:type="dcterms:W3CDTF">2025-11-18T01:09:35Z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98623D6660B449428EB8E073C6C952EA</vt:lpwstr>
  </property>
</Properties>
</file>