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中国国际贸易促进委员会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屈原管理区委员会</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中国国际贸易促进委员会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屈原管理区委员会</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（一）职能职责</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（1）根据区委、区管委有关外经贸和外事工作的方针政策及工作部署，开展同世界各国及港澳台地区经济贸易界、商会协会、贸促机构和其他经贸团体以及有关国际组织的联络工作并参加相关活动。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（2）邀请和接待国内外经贸界人士和代表团来访；组织经济贸易代表团赴境外访问与考察；协助区管委组织经贸洽谈、招商引资及其他形式的促进经贸交流与合作活动。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（3）开展国内外经济贸易信息的收集、整理、传递和发布工作，建立国内外的经贸信息网络；向国内外有关企业和机构介绍经济技术合作、劳务合作对象，提供信息服务、举办相关宣传活动。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（4）根据对外经贸工作实际需要，拟定年度参展计划，组织辖区内企业、团体在境内外举办经贸展览会和参加国际博览会、专业性展览会；接待相关会务事务。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与各地商会、律师事务所及其他商事法律服务组织合作，建立国际商事法律服务平台；签发货物原产地证明书、商事证明书和ATA单证册，出具不可抗力证明，代办涉外商事文件的领事认证业务；协助受理共同海损和单独海损等理算业务；组织涉外商事法律方面的对外交流活动；对企业进行国际商事法律业务培训。</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（6）协助岳阳市贸促会（国际商会）工作，在全区范围内发展和管理会员，开展各类会员服务和培训工作。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7）指导全区招商引资和承接产业转移工作，拟订并组织实施招商引资和承接产业转移政策；依权限核准外商投资企业的设立及变更事项；依法监督外商投资企业执行有关法律法规规章、合同章程的情况并协调解决有关问题；指导投资促进工作，规范招商引资活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8）拟订并组织实施对外经济合作政策；贯彻执行国家对香港、澳门特别行政区和台湾地区的经贸规划、政策，指导我区对港、澳、台地区贸易和经贸合作活动，协调港、澳、台商投资管理工作；依法管理和监督对外劳务合作等工作；组织实施区内人员出境就业管理政策，负责牵头外派劳务和境外就业人员的权益保护工作；拟订境外投资的管理办法和具体政策。</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（9）承办区委、区管委会交办的其他事项。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（二）机构设置</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根据上述职责，中国国际贸易促进委员会屈原管理区委员会设立1个综合办公室：</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人员编制和领导职数</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中国国际贸易促进委员会屈原管理区委员会核定全额事业编制2名，其中会长1名，副会长1名。</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二级机构</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区投资促进事务局</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rPr>
      </w:pPr>
      <w:r>
        <w:rPr>
          <w:rFonts w:hint="eastAsia" w:ascii="Times New Roman" w:hAnsi="Times New Roman" w:eastAsia="仿宋_GB2312" w:cs="Times New Roman"/>
          <w:color w:val="000000"/>
          <w:kern w:val="2"/>
          <w:sz w:val="32"/>
          <w:szCs w:val="32"/>
          <w:lang w:val="en-US" w:eastAsia="zh-CN" w:bidi="ar-SA"/>
        </w:rPr>
        <w:t>副科级公益一类事业单位，核定全额拨款事业编制3名，其中局长1名。</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000000"/>
          <w:kern w:val="2"/>
          <w:sz w:val="32"/>
          <w:szCs w:val="32"/>
          <w:lang w:val="en-US" w:eastAsia="zh-CN" w:bidi="ar-SA"/>
        </w:rPr>
        <w:t>2024年基本支出83.53万元，其中人员经费76.22万元，对个人和家庭的补助支出0.05万元，公用经费7.26万元。</w:t>
      </w:r>
    </w:p>
    <w:p>
      <w:pPr>
        <w:pStyle w:val="6"/>
        <w:keepNext w:val="0"/>
        <w:keepLines w:val="0"/>
        <w:pageBreakBefore w:val="0"/>
        <w:widowControl/>
        <w:numPr>
          <w:ilvl w:val="0"/>
          <w:numId w:val="2"/>
        </w:numPr>
        <w:tabs>
          <w:tab w:val="center" w:pos="4153"/>
        </w:tabs>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项目支出情况</w:t>
      </w:r>
      <w:r>
        <w:rPr>
          <w:rFonts w:hint="eastAsia" w:ascii="Times New Roman" w:hAnsi="Times New Roman" w:eastAsia="楷体_GB2312" w:cs="Times New Roman"/>
          <w:b/>
          <w:sz w:val="32"/>
          <w:szCs w:val="32"/>
          <w:lang w:eastAsia="zh-CN"/>
        </w:rPr>
        <w:tab/>
      </w:r>
    </w:p>
    <w:p>
      <w:pPr>
        <w:pStyle w:val="6"/>
        <w:keepNext w:val="0"/>
        <w:keepLines w:val="0"/>
        <w:pageBreakBefore w:val="0"/>
        <w:widowControl/>
        <w:numPr>
          <w:ilvl w:val="0"/>
          <w:numId w:val="0"/>
        </w:numPr>
        <w:tabs>
          <w:tab w:val="center" w:pos="4153"/>
        </w:tabs>
        <w:kinsoku/>
        <w:wordWrap/>
        <w:overflowPunct/>
        <w:topLinePunct w:val="0"/>
        <w:autoSpaceDE/>
        <w:autoSpaceDN/>
        <w:bidi w:val="0"/>
        <w:adjustRightInd/>
        <w:snapToGrid/>
        <w:spacing w:line="640" w:lineRule="exact"/>
        <w:ind w:firstLine="321" w:firstLineChars="100"/>
        <w:jc w:val="both"/>
        <w:textAlignment w:val="auto"/>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2024年项目支出113.82万元。</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2024年无政府性基金预算支出。</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lang w:val="en-US"/>
        </w:rPr>
      </w:pPr>
      <w:r>
        <w:rPr>
          <w:rFonts w:hint="eastAsia" w:ascii="Times New Roman" w:hAnsi="Times New Roman" w:eastAsia="仿宋_GB2312" w:cs="Times New Roman"/>
          <w:color w:val="000000"/>
          <w:kern w:val="2"/>
          <w:sz w:val="32"/>
          <w:szCs w:val="32"/>
          <w:lang w:val="en-US" w:eastAsia="zh-CN" w:bidi="ar-SA"/>
        </w:rPr>
        <w:t>2024年无</w:t>
      </w:r>
      <w:r>
        <w:rPr>
          <w:rFonts w:hint="default" w:ascii="Times New Roman" w:hAnsi="Times New Roman" w:eastAsia="仿宋_GB2312" w:cs="Times New Roman"/>
          <w:color w:val="000000"/>
          <w:kern w:val="2"/>
          <w:sz w:val="32"/>
          <w:szCs w:val="32"/>
          <w:lang w:val="en-US" w:eastAsia="zh-CN" w:bidi="ar-SA"/>
        </w:rPr>
        <w:t>国有资本经营预算支出</w:t>
      </w:r>
      <w:r>
        <w:rPr>
          <w:rFonts w:hint="eastAsia" w:ascii="Times New Roman" w:hAnsi="Times New Roman" w:eastAsia="仿宋_GB2312" w:cs="Times New Roman"/>
          <w:color w:val="000000"/>
          <w:kern w:val="2"/>
          <w:sz w:val="32"/>
          <w:szCs w:val="32"/>
          <w:lang w:val="en-US" w:eastAsia="zh-CN" w:bidi="ar-SA"/>
        </w:rPr>
        <w:t>。</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2024年无</w:t>
      </w:r>
      <w:r>
        <w:rPr>
          <w:rFonts w:hint="default" w:ascii="Times New Roman" w:hAnsi="Times New Roman" w:eastAsia="仿宋_GB2312" w:cs="Times New Roman"/>
          <w:color w:val="000000"/>
          <w:kern w:val="2"/>
          <w:sz w:val="32"/>
          <w:szCs w:val="32"/>
          <w:lang w:val="en-US" w:eastAsia="zh-CN" w:bidi="ar-SA"/>
        </w:rPr>
        <w:t>社会保险基金预算支出</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2024年单位整体绩效目标总额197.35万元，全年预算数为197.35万元，执行数为197.35万元，完成预算的100</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。整体绩效目标完成情况：</w:t>
      </w:r>
      <w:r>
        <w:rPr>
          <w:rFonts w:hint="default" w:ascii="Times New Roman" w:hAnsi="Times New Roman" w:eastAsia="仿宋_GB2312" w:cs="Times New Roman"/>
          <w:color w:val="000000"/>
          <w:kern w:val="2"/>
          <w:sz w:val="32"/>
          <w:szCs w:val="32"/>
          <w:lang w:val="en-US" w:eastAsia="zh-CN" w:bidi="ar-SA"/>
        </w:rPr>
        <w:t>新签约引进项目</w:t>
      </w:r>
      <w:r>
        <w:rPr>
          <w:rFonts w:hint="eastAsia" w:ascii="Times New Roman" w:hAnsi="Times New Roman" w:eastAsia="仿宋_GB2312" w:cs="Times New Roman"/>
          <w:color w:val="000000"/>
          <w:kern w:val="2"/>
          <w:sz w:val="32"/>
          <w:szCs w:val="32"/>
          <w:lang w:val="en-US" w:eastAsia="zh-CN" w:bidi="ar-SA"/>
        </w:rPr>
        <w:t>10个；协议</w:t>
      </w:r>
      <w:r>
        <w:rPr>
          <w:rFonts w:hint="default" w:ascii="Times New Roman" w:hAnsi="Times New Roman" w:eastAsia="仿宋_GB2312" w:cs="Times New Roman"/>
          <w:color w:val="000000"/>
          <w:kern w:val="2"/>
          <w:sz w:val="32"/>
          <w:szCs w:val="32"/>
          <w:lang w:val="en-US" w:eastAsia="zh-CN" w:bidi="ar-SA"/>
        </w:rPr>
        <w:t>联引资</w:t>
      </w:r>
      <w:r>
        <w:rPr>
          <w:rFonts w:hint="eastAsia" w:ascii="Times New Roman" w:hAnsi="Times New Roman" w:eastAsia="仿宋_GB2312" w:cs="Times New Roman"/>
          <w:color w:val="000000"/>
          <w:kern w:val="2"/>
          <w:sz w:val="32"/>
          <w:szCs w:val="32"/>
          <w:lang w:val="en-US" w:eastAsia="zh-CN" w:bidi="ar-SA"/>
        </w:rPr>
        <w:t>48.59亿元；</w:t>
      </w:r>
      <w:r>
        <w:rPr>
          <w:rFonts w:hint="default" w:ascii="Times New Roman" w:hAnsi="Times New Roman" w:eastAsia="仿宋_GB2312" w:cs="Times New Roman"/>
          <w:color w:val="000000"/>
          <w:kern w:val="2"/>
          <w:sz w:val="32"/>
          <w:szCs w:val="32"/>
          <w:lang w:val="en-US" w:eastAsia="zh-CN" w:bidi="ar-SA"/>
        </w:rPr>
        <w:t>内联引资到位资金</w:t>
      </w:r>
      <w:r>
        <w:rPr>
          <w:rFonts w:hint="eastAsia" w:ascii="Times New Roman" w:hAnsi="Times New Roman" w:eastAsia="仿宋_GB2312" w:cs="Times New Roman"/>
          <w:color w:val="000000"/>
          <w:kern w:val="2"/>
          <w:sz w:val="32"/>
          <w:szCs w:val="32"/>
          <w:lang w:val="en-US" w:eastAsia="zh-CN" w:bidi="ar-SA"/>
        </w:rPr>
        <w:t>33亿元；举办招商引资活动4次；</w:t>
      </w:r>
      <w:r>
        <w:rPr>
          <w:rFonts w:hint="default" w:ascii="Times New Roman" w:hAnsi="Times New Roman" w:eastAsia="仿宋_GB2312" w:cs="Times New Roman"/>
          <w:color w:val="000000"/>
          <w:kern w:val="2"/>
          <w:sz w:val="32"/>
          <w:szCs w:val="32"/>
          <w:lang w:val="en-US" w:eastAsia="zh-CN" w:bidi="ar-SA"/>
        </w:rPr>
        <w:t>全区招商环境整治完成</w:t>
      </w:r>
      <w:r>
        <w:rPr>
          <w:rFonts w:hint="eastAsia" w:ascii="Times New Roman" w:hAnsi="Times New Roman" w:eastAsia="仿宋_GB2312" w:cs="Times New Roman"/>
          <w:color w:val="000000"/>
          <w:kern w:val="2"/>
          <w:sz w:val="32"/>
          <w:szCs w:val="32"/>
          <w:lang w:val="en-US" w:eastAsia="zh-CN" w:bidi="ar-SA"/>
        </w:rPr>
        <w:t>95%。取得经济效益情况：</w:t>
      </w:r>
      <w:r>
        <w:rPr>
          <w:rFonts w:hint="default" w:ascii="Times New Roman" w:hAnsi="Times New Roman" w:eastAsia="仿宋_GB2312" w:cs="Times New Roman"/>
          <w:color w:val="000000"/>
          <w:kern w:val="2"/>
          <w:sz w:val="32"/>
          <w:szCs w:val="32"/>
          <w:lang w:val="en-US" w:eastAsia="zh-CN" w:bidi="ar-SA"/>
        </w:rPr>
        <w:t>增加税收收入</w:t>
      </w:r>
      <w:r>
        <w:rPr>
          <w:rFonts w:hint="eastAsia" w:ascii="Times New Roman" w:hAnsi="Times New Roman" w:eastAsia="仿宋_GB2312" w:cs="Times New Roman"/>
          <w:color w:val="000000"/>
          <w:kern w:val="2"/>
          <w:sz w:val="32"/>
          <w:szCs w:val="32"/>
          <w:lang w:val="en-US" w:eastAsia="zh-CN" w:bidi="ar-SA"/>
        </w:rPr>
        <w:t>1亿元；</w:t>
      </w:r>
      <w:r>
        <w:rPr>
          <w:rFonts w:hint="default" w:ascii="Times New Roman" w:hAnsi="Times New Roman" w:eastAsia="仿宋_GB2312" w:cs="Times New Roman"/>
          <w:color w:val="000000"/>
          <w:kern w:val="2"/>
          <w:sz w:val="32"/>
          <w:szCs w:val="32"/>
          <w:lang w:val="en-US" w:eastAsia="zh-CN" w:bidi="ar-SA"/>
        </w:rPr>
        <w:t>增加就业岗位</w:t>
      </w:r>
      <w:r>
        <w:rPr>
          <w:rFonts w:hint="eastAsia" w:ascii="Times New Roman" w:hAnsi="Times New Roman" w:eastAsia="仿宋_GB2312" w:cs="Times New Roman"/>
          <w:color w:val="000000"/>
          <w:kern w:val="2"/>
          <w:sz w:val="32"/>
          <w:szCs w:val="32"/>
          <w:lang w:val="en-US" w:eastAsia="zh-CN" w:bidi="ar-SA"/>
        </w:rPr>
        <w:t>10000个。</w:t>
      </w:r>
      <w:r>
        <w:rPr>
          <w:rFonts w:hint="default" w:ascii="Times New Roman" w:hAnsi="Times New Roman" w:eastAsia="仿宋_GB2312" w:cs="Times New Roman"/>
          <w:color w:val="000000"/>
          <w:kern w:val="2"/>
          <w:sz w:val="32"/>
          <w:szCs w:val="32"/>
          <w:lang w:val="en-US" w:eastAsia="zh-CN" w:bidi="ar-SA"/>
        </w:rPr>
        <w:t>在</w:t>
      </w:r>
      <w:r>
        <w:rPr>
          <w:rFonts w:hint="eastAsia" w:ascii="Times New Roman" w:hAnsi="Times New Roman" w:eastAsia="仿宋_GB2312" w:cs="Times New Roman"/>
          <w:color w:val="000000"/>
          <w:kern w:val="2"/>
          <w:sz w:val="32"/>
          <w:szCs w:val="32"/>
          <w:lang w:val="en-US" w:eastAsia="zh-CN" w:bidi="ar-SA"/>
        </w:rPr>
        <w:t>未来5-10</w:t>
      </w:r>
      <w:r>
        <w:rPr>
          <w:rFonts w:hint="default" w:ascii="Times New Roman" w:hAnsi="Times New Roman" w:eastAsia="仿宋_GB2312" w:cs="Times New Roman"/>
          <w:color w:val="000000"/>
          <w:kern w:val="2"/>
          <w:sz w:val="32"/>
          <w:szCs w:val="32"/>
          <w:lang w:val="en-US" w:eastAsia="zh-CN" w:bidi="ar-SA"/>
        </w:rPr>
        <w:t>内对经济发展的</w:t>
      </w:r>
      <w:r>
        <w:rPr>
          <w:rFonts w:hint="eastAsia" w:ascii="Times New Roman" w:hAnsi="Times New Roman" w:eastAsia="仿宋_GB2312" w:cs="Times New Roman"/>
          <w:color w:val="000000"/>
          <w:kern w:val="2"/>
          <w:sz w:val="32"/>
          <w:szCs w:val="32"/>
          <w:lang w:val="en-US" w:eastAsia="zh-CN" w:bidi="ar-SA"/>
        </w:rPr>
        <w:t>有良好</w:t>
      </w:r>
      <w:r>
        <w:rPr>
          <w:rFonts w:hint="default" w:ascii="Times New Roman" w:hAnsi="Times New Roman" w:eastAsia="仿宋_GB2312" w:cs="Times New Roman"/>
          <w:color w:val="000000"/>
          <w:kern w:val="2"/>
          <w:sz w:val="32"/>
          <w:szCs w:val="32"/>
          <w:lang w:val="en-US" w:eastAsia="zh-CN" w:bidi="ar-SA"/>
        </w:rPr>
        <w:t>影响</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企业对营商服务满意度</w:t>
      </w:r>
      <w:r>
        <w:rPr>
          <w:rFonts w:hint="eastAsia" w:ascii="Times New Roman" w:hAnsi="Times New Roman" w:eastAsia="仿宋_GB2312" w:cs="Times New Roman"/>
          <w:color w:val="000000"/>
          <w:kern w:val="2"/>
          <w:sz w:val="32"/>
          <w:szCs w:val="32"/>
          <w:lang w:val="en-US" w:eastAsia="zh-CN" w:bidi="ar-SA"/>
        </w:rPr>
        <w:t>达到95%。</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资金使用效益不高，预算的约束力不够，预算编制工作有待进一步细化。</w:t>
      </w:r>
    </w:p>
    <w:p>
      <w:pPr>
        <w:numPr>
          <w:ilvl w:val="0"/>
          <w:numId w:val="0"/>
        </w:numPr>
        <w:ind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八、</w:t>
      </w:r>
      <w:r>
        <w:rPr>
          <w:rFonts w:hint="default" w:ascii="Times New Roman" w:hAnsi="Times New Roman" w:eastAsia="黑体" w:cs="Times New Roman"/>
          <w:kern w:val="2"/>
          <w:sz w:val="32"/>
          <w:szCs w:val="32"/>
          <w:lang w:val="en-US" w:eastAsia="zh-CN" w:bidi="ar-SA"/>
        </w:rPr>
        <w:t>下一步改进措施</w:t>
      </w:r>
      <w:r>
        <w:rPr>
          <w:rFonts w:hint="eastAsia" w:ascii="Times New Roman" w:hAnsi="Times New Roman" w:eastAsia="黑体" w:cs="Times New Roman"/>
          <w:kern w:val="2"/>
          <w:sz w:val="32"/>
          <w:szCs w:val="32"/>
          <w:lang w:val="en-US" w:eastAsia="zh-CN" w:bidi="ar-SA"/>
        </w:rPr>
        <w:t xml:space="preserve"> </w:t>
      </w:r>
    </w:p>
    <w:p>
      <w:pPr>
        <w:numPr>
          <w:ilvl w:val="0"/>
          <w:numId w:val="0"/>
        </w:numPr>
        <w:ind w:firstLine="420" w:firstLineChars="200"/>
        <w:rPr>
          <w:rFonts w:hint="eastAsia" w:ascii="Times New Roman" w:hAnsi="Times New Roman" w:eastAsia="仿宋_GB2312" w:cs="Times New Roman"/>
          <w:color w:val="00000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000000"/>
          <w:kern w:val="2"/>
          <w:sz w:val="32"/>
          <w:szCs w:val="32"/>
          <w:lang w:val="en-US" w:eastAsia="zh-CN" w:bidi="ar-SA"/>
        </w:rPr>
        <w:t>1.加强资金的管理使用，提高资金的使用效率，发挥好资金促进民生的作用。</w:t>
      </w:r>
    </w:p>
    <w:p>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2.加强对资金管理使用的监督检查，确保及时发现资金使用中存在的问题，保证资金的安全。</w:t>
      </w:r>
    </w:p>
    <w:p>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3.加强财务风险防控。</w:t>
      </w:r>
    </w:p>
    <w:p>
      <w:pPr>
        <w:pStyle w:val="2"/>
        <w:numPr>
          <w:ilvl w:val="0"/>
          <w:numId w:val="0"/>
        </w:numPr>
        <w:ind w:firstLine="640" w:firstLineChars="200"/>
        <w:rPr>
          <w:rFonts w:hint="default" w:eastAsia="宋体"/>
          <w:lang w:val="en-US" w:eastAsia="zh-CN"/>
        </w:rPr>
      </w:pPr>
      <w:r>
        <w:rPr>
          <w:rFonts w:hint="eastAsia" w:ascii="Times New Roman" w:hAnsi="Times New Roman" w:eastAsia="仿宋_GB2312" w:cs="Times New Roman"/>
          <w:color w:val="000000"/>
          <w:kern w:val="2"/>
          <w:sz w:val="32"/>
          <w:szCs w:val="32"/>
          <w:lang w:val="en-US" w:eastAsia="zh-CN" w:bidi="ar-SA"/>
        </w:rPr>
        <w:t>4.加大绩效评价结果运用力度，积极推进绩效评价结果在项目申报、资金安排方面的运用，提升资金使用效益。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2"/>
        <w:rPr>
          <w:rFonts w:hint="eastAsia" w:ascii="Times New Roman" w:hAnsi="Times New Roman" w:eastAsia="仿宋_GB2312" w:cs="Times New Roman"/>
          <w:color w:val="00000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000000"/>
          <w:kern w:val="2"/>
          <w:sz w:val="32"/>
          <w:szCs w:val="32"/>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pStyle w:val="2"/>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（二）部门整体支出绩效自评报告按照财政要求在规定时间内在政府门户网站上进行公开，接受社会监督。</w:t>
      </w:r>
    </w:p>
    <w:p>
      <w:pPr>
        <w:pStyle w:val="2"/>
        <w:numPr>
          <w:ilvl w:val="0"/>
          <w:numId w:val="0"/>
        </w:numPr>
        <w:rPr>
          <w:rFonts w:hint="eastAsia" w:eastAsia="宋体"/>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A3669"/>
    <w:multiLevelType w:val="singleLevel"/>
    <w:tmpl w:val="0BDA3669"/>
    <w:lvl w:ilvl="0" w:tentative="0">
      <w:start w:val="1"/>
      <w:numFmt w:val="chineseCounting"/>
      <w:suff w:val="nothing"/>
      <w:lvlText w:val="%1、"/>
      <w:lvlJc w:val="left"/>
      <w:rPr>
        <w:rFonts w:hint="eastAsia"/>
      </w:rPr>
    </w:lvl>
  </w:abstractNum>
  <w:abstractNum w:abstractNumId="1">
    <w:nsid w:val="2BCCDC06"/>
    <w:multiLevelType w:val="singleLevel"/>
    <w:tmpl w:val="2BCCDC06"/>
    <w:lvl w:ilvl="0" w:tentative="0">
      <w:start w:val="2"/>
      <w:numFmt w:val="chineseCounting"/>
      <w:suff w:val="nothing"/>
      <w:lvlText w:val="（%1）"/>
      <w:lvlJc w:val="left"/>
      <w:rPr>
        <w:rFonts w:hint="eastAsia"/>
      </w:rPr>
    </w:lvl>
  </w:abstractNum>
  <w:abstractNum w:abstractNumId="2">
    <w:nsid w:val="5F360709"/>
    <w:multiLevelType w:val="singleLevel"/>
    <w:tmpl w:val="5F360709"/>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7464BD6"/>
    <w:rsid w:val="19B105C1"/>
    <w:rsid w:val="29537CE0"/>
    <w:rsid w:val="3117323C"/>
    <w:rsid w:val="31B07EB9"/>
    <w:rsid w:val="3EF21442"/>
    <w:rsid w:val="5A9164F8"/>
    <w:rsid w:val="5ABE3409"/>
    <w:rsid w:val="5CFD6341"/>
    <w:rsid w:val="6C3D028D"/>
    <w:rsid w:val="70CD7E32"/>
    <w:rsid w:val="783E1615"/>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495</Words>
  <Characters>504</Characters>
  <Lines>0</Lines>
  <Paragraphs>0</Paragraphs>
  <TotalTime>0</TotalTime>
  <ScaleCrop>false</ScaleCrop>
  <LinksUpToDate>false</LinksUpToDate>
  <CharactersWithSpaces>508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郑志丹</cp:lastModifiedBy>
  <dcterms:modified xsi:type="dcterms:W3CDTF">2025-11-18T02:09:34Z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D0EA83FB252741468F5545968B6E9DF6_13</vt:lpwstr>
  </property>
  <property fmtid="{D5CDD505-2E9C-101B-9397-08002B2CF9AE}" pid="4" name="KSOTemplateDocerSaveRecord">
    <vt:lpwstr>eyJoZGlkIjoiMDQwZjg0ZjBiYWM1M2E2OTM4NWMwNzQzM2QwNmVjYmUiLCJ1c2VySWQiOiIyNzk5MzEyNzkifQ==</vt:lpwstr>
  </property>
</Properties>
</file>