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C3369">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FDC2C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B7075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中共屈原管理区</w:t>
      </w:r>
      <w:r>
        <w:rPr>
          <w:rFonts w:hint="eastAsia" w:ascii="方正小标宋简体" w:hAnsi="方正小标宋简体" w:eastAsia="方正小标宋简体" w:cs="方正小标宋简体"/>
          <w:sz w:val="44"/>
          <w:szCs w:val="44"/>
        </w:rPr>
        <w:t>纪律检查委员会部门整体支出绩效自评报</w:t>
      </w:r>
      <w:r>
        <w:rPr>
          <w:rFonts w:hint="eastAsia" w:ascii="方正小标宋简体" w:hAnsi="方正小标宋简体" w:eastAsia="方正小标宋简体" w:cs="方正小标宋简体"/>
          <w:sz w:val="44"/>
          <w:szCs w:val="44"/>
          <w:lang w:val="en-US" w:eastAsia="zh-CN"/>
        </w:rPr>
        <w:t>告</w:t>
      </w:r>
    </w:p>
    <w:p w14:paraId="6DF4ABEB">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39E7ED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部门（单位）基本情况</w:t>
      </w:r>
    </w:p>
    <w:p w14:paraId="5918EEE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（1）负责全区党的纪律检查工作。</w:t>
      </w:r>
    </w:p>
    <w:p w14:paraId="66EC866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（2）依照党的章程和其他党内法规履行监督、执纪、问责职责。</w:t>
      </w:r>
    </w:p>
    <w:p w14:paraId="4892DCB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（3）在区</w:t>
      </w:r>
      <w:r>
        <w:rPr>
          <w:rFonts w:hint="eastAsia" w:ascii="仿宋_GB2312" w:hAnsi="仿宋" w:eastAsia="仿宋_GB2312" w:cs="Times New Roman"/>
          <w:sz w:val="32"/>
          <w:szCs w:val="32"/>
          <w:lang w:val="en-US" w:eastAsia="zh-CN"/>
        </w:rPr>
        <w:t>党</w:t>
      </w:r>
      <w:r>
        <w:rPr>
          <w:rFonts w:hint="eastAsia" w:ascii="仿宋_GB2312" w:hAnsi="仿宋" w:eastAsia="仿宋_GB2312" w:cs="Times New Roman"/>
          <w:sz w:val="32"/>
          <w:szCs w:val="32"/>
          <w:lang w:eastAsia="zh-CN"/>
        </w:rPr>
        <w:t>委领导下组织开展巡察工作。</w:t>
      </w:r>
    </w:p>
    <w:p w14:paraId="029D72B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（4）负责全区监察工作。</w:t>
      </w:r>
    </w:p>
    <w:p w14:paraId="16E35A7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（5）依照法律规定履行监督、调查、处置职责。</w:t>
      </w:r>
    </w:p>
    <w:p w14:paraId="17A3DEF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（6）负责组织协调全区全面从严治党、党风廉政建设和反腐败宣传教育工作。</w:t>
      </w:r>
    </w:p>
    <w:p w14:paraId="4836142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（7）负责综合分析全区全面从严治党、党风廉政建设和反腐败工作情况，对纪检监察工作重要理论及实践问题进行调查研究；制定或者修改全区纪检监察制度规定，参与起草制定相关规章和规范性文件。</w:t>
      </w:r>
    </w:p>
    <w:p w14:paraId="7C406F3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8）根据干部管理权限，负责全区纪检监察系统领导班子、干部队伍建设和组织建设的综合规划、政策研究、制度建设和业务指导：会同有关方面做好区纪委区监工委派驻机构、乡镇街道纪（工）委领导班子建设有关工作；组织和指导全区纪检监察系统干部教育培训工作等；参与监督其他区管干部的任用管理工作。</w:t>
      </w:r>
    </w:p>
    <w:p w14:paraId="296B026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（9）完成市纪委市监委、区</w:t>
      </w:r>
      <w:r>
        <w:rPr>
          <w:rFonts w:hint="eastAsia" w:ascii="仿宋_GB2312" w:hAnsi="仿宋" w:eastAsia="仿宋_GB2312" w:cs="Times New Roman"/>
          <w:sz w:val="32"/>
          <w:szCs w:val="32"/>
          <w:lang w:val="en-US" w:eastAsia="zh-CN"/>
        </w:rPr>
        <w:t>党</w:t>
      </w:r>
      <w:r>
        <w:rPr>
          <w:rFonts w:hint="eastAsia" w:ascii="仿宋_GB2312" w:hAnsi="仿宋" w:eastAsia="仿宋_GB2312" w:cs="Times New Roman"/>
          <w:sz w:val="32"/>
          <w:szCs w:val="32"/>
          <w:lang w:eastAsia="zh-CN"/>
        </w:rPr>
        <w:t>委交办的其他任务。</w:t>
      </w:r>
    </w:p>
    <w:p w14:paraId="0AFF9E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lang w:val="en-US" w:eastAsia="zh-CN"/>
        </w:rPr>
      </w:pPr>
      <w:bookmarkStart w:id="1" w:name="_GoBack"/>
      <w:r>
        <w:rPr>
          <w:rFonts w:hint="default" w:ascii="Times New Roman" w:hAnsi="Times New Roman" w:eastAsia="黑体" w:cs="Times New Roman"/>
          <w:color w:val="auto"/>
          <w:sz w:val="32"/>
          <w:szCs w:val="32"/>
          <w:lang w:val="en-US" w:eastAsia="zh-CN"/>
        </w:rPr>
        <w:t>二、一般公共预算支出情况</w:t>
      </w:r>
    </w:p>
    <w:bookmarkEnd w:id="1"/>
    <w:p w14:paraId="368A0C5C">
      <w:pPr>
        <w:pStyle w:val="7"/>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4B056789">
      <w:pPr>
        <w:keepNext w:val="0"/>
        <w:keepLines w:val="0"/>
        <w:pageBreakBefore w:val="0"/>
        <w:widowControl w:val="0"/>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年度财政拨款基本支出</w:t>
      </w:r>
      <w:r>
        <w:rPr>
          <w:rFonts w:hint="eastAsia" w:ascii="仿宋_GB2312" w:hAnsi="仿宋" w:eastAsia="仿宋_GB2312" w:cs="Times New Roman"/>
          <w:sz w:val="32"/>
          <w:szCs w:val="32"/>
          <w:lang w:val="en-US" w:eastAsia="zh-CN"/>
        </w:rPr>
        <w:t>384.90</w:t>
      </w:r>
      <w:r>
        <w:rPr>
          <w:rFonts w:hint="eastAsia" w:ascii="仿宋_GB2312" w:hAnsi="仿宋" w:eastAsia="仿宋_GB2312" w:cs="Times New Roman"/>
          <w:sz w:val="32"/>
          <w:szCs w:val="32"/>
          <w:lang w:eastAsia="zh-CN"/>
        </w:rPr>
        <w:t>万元，其中：工资福利支出</w:t>
      </w:r>
      <w:r>
        <w:rPr>
          <w:rFonts w:hint="eastAsia" w:ascii="仿宋_GB2312" w:hAnsi="仿宋" w:eastAsia="仿宋_GB2312" w:cs="Times New Roman"/>
          <w:sz w:val="32"/>
          <w:szCs w:val="32"/>
          <w:lang w:val="en-US" w:eastAsia="zh-CN"/>
        </w:rPr>
        <w:t>297.39</w:t>
      </w:r>
      <w:r>
        <w:rPr>
          <w:rFonts w:hint="eastAsia" w:ascii="仿宋_GB2312" w:hAnsi="仿宋" w:eastAsia="仿宋_GB2312" w:cs="Times New Roman"/>
          <w:sz w:val="32"/>
          <w:szCs w:val="32"/>
          <w:lang w:eastAsia="zh-CN"/>
        </w:rPr>
        <w:t>万元，商品和服务支出</w:t>
      </w:r>
      <w:r>
        <w:rPr>
          <w:rFonts w:hint="eastAsia" w:ascii="仿宋_GB2312" w:hAnsi="仿宋" w:eastAsia="仿宋_GB2312" w:cs="Times New Roman"/>
          <w:sz w:val="32"/>
          <w:szCs w:val="32"/>
          <w:lang w:val="en-US" w:eastAsia="zh-CN"/>
        </w:rPr>
        <w:t>79.60</w:t>
      </w:r>
      <w:r>
        <w:rPr>
          <w:rFonts w:hint="eastAsia" w:ascii="仿宋_GB2312" w:hAnsi="仿宋" w:eastAsia="仿宋_GB2312" w:cs="Times New Roman"/>
          <w:sz w:val="32"/>
          <w:szCs w:val="32"/>
          <w:lang w:eastAsia="zh-CN"/>
        </w:rPr>
        <w:t>万元，</w:t>
      </w:r>
      <w:r>
        <w:rPr>
          <w:rFonts w:hint="eastAsia" w:ascii="仿宋_GB2312" w:hAnsi="仿宋" w:eastAsia="仿宋_GB2312" w:cs="Times New Roman"/>
          <w:sz w:val="32"/>
          <w:szCs w:val="32"/>
          <w:lang w:val="en-US" w:eastAsia="zh-CN"/>
        </w:rPr>
        <w:t>对个人和家庭的补助7.91万元</w:t>
      </w:r>
      <w:r>
        <w:rPr>
          <w:rFonts w:hint="eastAsia" w:ascii="仿宋_GB2312" w:hAnsi="仿宋" w:eastAsia="仿宋_GB2312" w:cs="Times New Roman"/>
          <w:sz w:val="32"/>
          <w:szCs w:val="32"/>
          <w:lang w:eastAsia="zh-CN"/>
        </w:rPr>
        <w:t>。</w:t>
      </w:r>
    </w:p>
    <w:p w14:paraId="179B2E91">
      <w:pPr>
        <w:pStyle w:val="7"/>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14:paraId="3F040340">
      <w:pPr>
        <w:keepNext w:val="0"/>
        <w:keepLines w:val="0"/>
        <w:pageBreakBefore w:val="0"/>
        <w:widowControl w:val="0"/>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cs="Times New Roman"/>
          <w:sz w:val="32"/>
          <w:szCs w:val="32"/>
          <w:lang w:eastAsia="zh-CN"/>
        </w:rPr>
      </w:pPr>
      <w:r>
        <w:rPr>
          <w:rFonts w:hint="default" w:ascii="仿宋_GB2312" w:hAnsi="仿宋" w:eastAsia="仿宋_GB2312" w:cs="Times New Roman"/>
          <w:sz w:val="32"/>
          <w:szCs w:val="32"/>
          <w:lang w:val="en-US" w:eastAsia="zh-CN"/>
        </w:rPr>
        <w:t>202</w:t>
      </w:r>
      <w:r>
        <w:rPr>
          <w:rFonts w:hint="eastAsia" w:ascii="仿宋_GB2312" w:hAnsi="仿宋" w:eastAsia="仿宋_GB2312" w:cs="Times New Roman"/>
          <w:sz w:val="32"/>
          <w:szCs w:val="32"/>
          <w:lang w:val="en-US" w:eastAsia="zh-CN"/>
        </w:rPr>
        <w:t>4</w:t>
      </w:r>
      <w:r>
        <w:rPr>
          <w:rFonts w:hint="default" w:ascii="仿宋_GB2312" w:hAnsi="仿宋" w:eastAsia="仿宋_GB2312" w:cs="Times New Roman"/>
          <w:sz w:val="32"/>
          <w:szCs w:val="32"/>
          <w:lang w:val="en-US" w:eastAsia="zh-CN"/>
        </w:rPr>
        <w:t>年度财政拨款专项支出</w:t>
      </w:r>
      <w:r>
        <w:rPr>
          <w:rFonts w:hint="eastAsia" w:ascii="仿宋_GB2312" w:hAnsi="仿宋" w:eastAsia="仿宋_GB2312" w:cs="Times New Roman"/>
          <w:sz w:val="32"/>
          <w:szCs w:val="32"/>
          <w:lang w:val="en-US" w:eastAsia="zh-CN"/>
        </w:rPr>
        <w:t>558.31</w:t>
      </w:r>
      <w:r>
        <w:rPr>
          <w:rFonts w:hint="default" w:ascii="仿宋_GB2312" w:hAnsi="仿宋" w:eastAsia="仿宋_GB2312" w:cs="Times New Roman"/>
          <w:sz w:val="32"/>
          <w:szCs w:val="32"/>
          <w:lang w:val="en-US" w:eastAsia="zh-CN"/>
        </w:rPr>
        <w:t>万元，</w:t>
      </w:r>
      <w:r>
        <w:rPr>
          <w:rFonts w:hint="eastAsia" w:ascii="仿宋_GB2312" w:hAnsi="仿宋" w:eastAsia="仿宋_GB2312" w:cs="Times New Roman"/>
          <w:sz w:val="32"/>
          <w:szCs w:val="32"/>
          <w:lang w:eastAsia="zh-CN"/>
        </w:rPr>
        <w:t>其中：工资福利支出</w:t>
      </w:r>
      <w:r>
        <w:rPr>
          <w:rFonts w:hint="eastAsia" w:ascii="仿宋_GB2312" w:hAnsi="仿宋" w:eastAsia="仿宋_GB2312" w:cs="Times New Roman"/>
          <w:sz w:val="32"/>
          <w:szCs w:val="32"/>
          <w:lang w:val="en-US" w:eastAsia="zh-CN"/>
        </w:rPr>
        <w:t>6.91</w:t>
      </w:r>
      <w:r>
        <w:rPr>
          <w:rFonts w:hint="eastAsia" w:ascii="仿宋_GB2312" w:hAnsi="仿宋" w:eastAsia="仿宋_GB2312" w:cs="Times New Roman"/>
          <w:sz w:val="32"/>
          <w:szCs w:val="32"/>
          <w:lang w:eastAsia="zh-CN"/>
        </w:rPr>
        <w:t>万元，商品和服务支出</w:t>
      </w:r>
      <w:r>
        <w:rPr>
          <w:rFonts w:hint="eastAsia" w:ascii="仿宋_GB2312" w:hAnsi="仿宋" w:eastAsia="仿宋_GB2312" w:cs="Times New Roman"/>
          <w:sz w:val="32"/>
          <w:szCs w:val="32"/>
          <w:lang w:val="en-US" w:eastAsia="zh-CN"/>
        </w:rPr>
        <w:t>515.86</w:t>
      </w:r>
      <w:r>
        <w:rPr>
          <w:rFonts w:hint="eastAsia" w:ascii="仿宋_GB2312" w:hAnsi="仿宋" w:eastAsia="仿宋_GB2312" w:cs="Times New Roman"/>
          <w:sz w:val="32"/>
          <w:szCs w:val="32"/>
          <w:lang w:eastAsia="zh-CN"/>
        </w:rPr>
        <w:t>万元，</w:t>
      </w:r>
      <w:r>
        <w:rPr>
          <w:rFonts w:hint="eastAsia" w:ascii="仿宋_GB2312" w:hAnsi="仿宋" w:eastAsia="仿宋_GB2312" w:cs="Times New Roman"/>
          <w:sz w:val="32"/>
          <w:szCs w:val="32"/>
          <w:lang w:val="en-US" w:eastAsia="zh-CN"/>
        </w:rPr>
        <w:t>对个人和家庭的补助35.54万元</w:t>
      </w:r>
      <w:r>
        <w:rPr>
          <w:rFonts w:hint="eastAsia" w:ascii="仿宋_GB2312" w:hAnsi="仿宋" w:eastAsia="仿宋_GB2312" w:cs="Times New Roman"/>
          <w:sz w:val="32"/>
          <w:szCs w:val="32"/>
          <w:lang w:eastAsia="zh-CN"/>
        </w:rPr>
        <w:t>。</w:t>
      </w:r>
    </w:p>
    <w:p w14:paraId="5B2C221D">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57AB47B4">
      <w:pPr>
        <w:keepNext w:val="0"/>
        <w:keepLines w:val="0"/>
        <w:pageBreakBefore w:val="0"/>
        <w:widowControl w:val="0"/>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本单位无</w:t>
      </w:r>
      <w:r>
        <w:rPr>
          <w:rFonts w:hint="default" w:ascii="仿宋_GB2312" w:hAnsi="仿宋" w:eastAsia="仿宋_GB2312" w:cs="Times New Roman"/>
          <w:sz w:val="32"/>
          <w:szCs w:val="32"/>
          <w:lang w:eastAsia="zh-CN"/>
        </w:rPr>
        <w:t>政府性基金预算支出</w:t>
      </w:r>
      <w:r>
        <w:rPr>
          <w:rFonts w:hint="eastAsia" w:ascii="仿宋_GB2312" w:hAnsi="仿宋" w:eastAsia="仿宋_GB2312" w:cs="Times New Roman"/>
          <w:sz w:val="32"/>
          <w:szCs w:val="32"/>
          <w:lang w:eastAsia="zh-CN"/>
        </w:rPr>
        <w:t>。</w:t>
      </w:r>
    </w:p>
    <w:p w14:paraId="527E40C0">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168DE331">
      <w:pPr>
        <w:keepNext w:val="0"/>
        <w:keepLines w:val="0"/>
        <w:pageBreakBefore w:val="0"/>
        <w:widowControl w:val="0"/>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本单位无</w:t>
      </w:r>
      <w:r>
        <w:rPr>
          <w:rFonts w:hint="default" w:ascii="仿宋_GB2312" w:hAnsi="仿宋" w:eastAsia="仿宋_GB2312" w:cs="Times New Roman"/>
          <w:sz w:val="32"/>
          <w:szCs w:val="32"/>
          <w:lang w:eastAsia="zh-CN"/>
        </w:rPr>
        <w:t>国有资本经营预算支出</w:t>
      </w:r>
      <w:r>
        <w:rPr>
          <w:rFonts w:hint="eastAsia" w:ascii="仿宋_GB2312" w:hAnsi="仿宋" w:eastAsia="仿宋_GB2312" w:cs="Times New Roman"/>
          <w:sz w:val="32"/>
          <w:szCs w:val="32"/>
          <w:lang w:eastAsia="zh-CN"/>
        </w:rPr>
        <w:t>。</w:t>
      </w:r>
    </w:p>
    <w:p w14:paraId="54447EE5">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166332AE">
      <w:pPr>
        <w:keepNext w:val="0"/>
        <w:keepLines w:val="0"/>
        <w:pageBreakBefore w:val="0"/>
        <w:widowControl w:val="0"/>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本单位无</w:t>
      </w:r>
      <w:r>
        <w:rPr>
          <w:rFonts w:hint="default" w:ascii="仿宋_GB2312" w:hAnsi="仿宋" w:eastAsia="仿宋_GB2312" w:cs="Times New Roman"/>
          <w:sz w:val="32"/>
          <w:szCs w:val="32"/>
          <w:lang w:eastAsia="zh-CN"/>
        </w:rPr>
        <w:t>社会保险基金预算支出</w:t>
      </w:r>
      <w:r>
        <w:rPr>
          <w:rFonts w:hint="eastAsia" w:ascii="仿宋_GB2312" w:hAnsi="仿宋" w:eastAsia="仿宋_GB2312" w:cs="Times New Roman"/>
          <w:sz w:val="32"/>
          <w:szCs w:val="32"/>
          <w:lang w:eastAsia="zh-CN"/>
        </w:rPr>
        <w:t>。</w:t>
      </w:r>
    </w:p>
    <w:p w14:paraId="328D2D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62E7B57B">
      <w:pPr>
        <w:keepNext w:val="0"/>
        <w:keepLines w:val="0"/>
        <w:pageBreakBefore w:val="0"/>
        <w:widowControl w:val="0"/>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2024年以来，在市纪委监委和区党委的坚强领导下，屈原管理区纪委监工委坚持以习近平新时代中国特色社会主义思想为指导，深入学习贯彻习近平总书记关于全面从严治党的重要论述，全面贯彻落实党中央、省委、市委和区党委关于党风廉政建设和反腐败工作的部署要求，聚焦主责主业，守正创新，担当作为，我区全面从严治党各项工作取得新成效。</w:t>
      </w:r>
    </w:p>
    <w:p w14:paraId="6AD7707E">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sz w:val="32"/>
          <w:szCs w:val="32"/>
          <w:lang w:val="en-US" w:eastAsia="zh-CN"/>
        </w:rPr>
      </w:pPr>
      <w:r>
        <w:rPr>
          <w:rFonts w:hint="eastAsia" w:ascii="方正楷体_GBK" w:hAnsi="方正楷体_GBK" w:eastAsia="方正楷体_GBK" w:cs="方正楷体_GBK"/>
          <w:b/>
          <w:bCs/>
          <w:i w:val="0"/>
          <w:iCs w:val="0"/>
          <w:caps w:val="0"/>
          <w:color w:val="000000"/>
          <w:spacing w:val="0"/>
          <w:kern w:val="2"/>
          <w:sz w:val="32"/>
          <w:szCs w:val="32"/>
          <w:shd w:val="clear" w:color="auto" w:fill="FFFFFF"/>
          <w:vertAlign w:val="baseline"/>
          <w:lang w:val="en-US" w:eastAsia="zh-CN" w:bidi="ar-SA"/>
        </w:rPr>
        <w:t>一是立足监督首责，提升监督治理效能。</w:t>
      </w:r>
      <w:r>
        <w:rPr>
          <w:rFonts w:hint="eastAsia" w:ascii="仿宋_GB2312" w:hAnsi="仿宋" w:eastAsia="仿宋_GB2312" w:cs="Times New Roman"/>
          <w:sz w:val="32"/>
          <w:szCs w:val="32"/>
          <w:lang w:val="en-US" w:eastAsia="zh-CN"/>
        </w:rPr>
        <w:t>一是强化政治监督。共出具廉政鉴定922人次，否决10人，为区党委选人用人提供参考。二是强化日常监督。督促全区56家单位党委（党组）出台全面从严治党主体责任清单，运用“第一种形态”处理188人。三是强化专项监督。</w:t>
      </w:r>
      <w:bookmarkStart w:id="0" w:name="OLE_LINK1"/>
      <w:r>
        <w:rPr>
          <w:rFonts w:hint="eastAsia" w:ascii="仿宋_GB2312" w:hAnsi="仿宋" w:eastAsia="仿宋_GB2312" w:cs="Times New Roman"/>
          <w:sz w:val="32"/>
          <w:szCs w:val="32"/>
          <w:lang w:val="en-US" w:eastAsia="zh-CN"/>
        </w:rPr>
        <w:t>督促全区各级，重点开展“洞庭清波”常态化监督检查，围绕“三湘护农”“营商清风101”、金融领域、公共资源交易领域等</w:t>
      </w:r>
      <w:bookmarkEnd w:id="0"/>
      <w:r>
        <w:rPr>
          <w:rFonts w:hint="eastAsia" w:ascii="仿宋_GB2312" w:hAnsi="仿宋" w:eastAsia="仿宋_GB2312" w:cs="Times New Roman"/>
          <w:sz w:val="32"/>
          <w:szCs w:val="32"/>
          <w:lang w:val="en-US" w:eastAsia="zh-CN"/>
        </w:rPr>
        <w:t>重点领域列出监督清单、建立监督台账、明确监督措施，发现问题56个，整改56个，移交问题线索81个，予以立案71人，给予处理处分49人。</w:t>
      </w:r>
    </w:p>
    <w:p w14:paraId="3B3760E3">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 w:eastAsia="仿宋_GB2312" w:cs="Times New Roman"/>
          <w:kern w:val="2"/>
          <w:sz w:val="32"/>
          <w:szCs w:val="32"/>
          <w:lang w:val="en-US" w:eastAsia="zh-CN" w:bidi="ar-SA"/>
        </w:rPr>
      </w:pPr>
      <w:r>
        <w:rPr>
          <w:rFonts w:hint="eastAsia" w:ascii="方正楷体_GBK" w:hAnsi="方正楷体_GBK" w:eastAsia="方正楷体_GBK" w:cs="方正楷体_GBK"/>
          <w:b/>
          <w:bCs/>
          <w:color w:val="auto"/>
          <w:sz w:val="32"/>
          <w:szCs w:val="32"/>
          <w:lang w:val="en-US" w:eastAsia="zh-CN"/>
        </w:rPr>
        <w:t>二是坚持标本兼治，深化“三不腐”一体推进。</w:t>
      </w:r>
      <w:r>
        <w:rPr>
          <w:rFonts w:hint="eastAsia" w:ascii="仿宋_GB2312" w:hAnsi="仿宋" w:eastAsia="仿宋_GB2312" w:cs="Times New Roman"/>
          <w:kern w:val="2"/>
          <w:sz w:val="32"/>
          <w:szCs w:val="32"/>
          <w:lang w:val="en-US" w:eastAsia="zh-CN" w:bidi="ar-SA"/>
        </w:rPr>
        <w:t>保持“惩”的强力震慑。今年来，我委共处置问题线索234件，立案审查调查209人，给予党纪政务处分113人，采取留置措施6人，移送检察机关审查起诉1人，办理了全省第一起国有企业领导干部非法经营同类营业罪的案件。综合运用“四种形态”处理328人，其中第一、二、三、四种形态处理分别为188人次、131人次、7人次、2人次，分别占比57.3%、40%、2.1%、0.6%。发挥“治”的综合效能。扎实开展“徐某春”案件以案促改组专题民主生活会，组织观看警示教育片3次覆盖1500人次，举办“好家风·好传承”等家风建设主题活动50余次，在党纪学习教育活动中派出业务骨干到全区各单位授课56轮次，在微信公众号推送《条例》解读12期，开展“青年话清廉”主题演讲比赛，在屈原人才联谊等活动上分享廉洁文化，持续一体推进“三不腐”。</w:t>
      </w:r>
    </w:p>
    <w:p w14:paraId="3655345D">
      <w:pPr>
        <w:keepNext w:val="0"/>
        <w:keepLines w:val="0"/>
        <w:pageBreakBefore w:val="0"/>
        <w:widowControl w:val="0"/>
        <w:wordWrap/>
        <w:overflowPunct/>
        <w:topLinePunct w:val="0"/>
        <w:autoSpaceDE/>
        <w:autoSpaceDN/>
        <w:bidi w:val="0"/>
        <w:adjustRightInd/>
        <w:snapToGrid w:val="0"/>
        <w:spacing w:line="600" w:lineRule="exact"/>
        <w:ind w:firstLine="643" w:firstLineChars="200"/>
        <w:textAlignment w:val="auto"/>
        <w:rPr>
          <w:rFonts w:hint="eastAsia" w:ascii="仿宋_GB2312" w:hAnsi="仿宋" w:eastAsia="仿宋_GB2312" w:cs="Times New Roman"/>
          <w:sz w:val="32"/>
          <w:szCs w:val="32"/>
          <w:lang w:val="en-US" w:eastAsia="zh-CN"/>
        </w:rPr>
      </w:pPr>
      <w:r>
        <w:rPr>
          <w:rFonts w:hint="eastAsia" w:ascii="方正楷体_GBK" w:hAnsi="方正楷体_GBK" w:eastAsia="方正楷体_GBK" w:cs="方正楷体_GBK"/>
          <w:b/>
          <w:bCs/>
          <w:kern w:val="2"/>
          <w:sz w:val="32"/>
          <w:szCs w:val="32"/>
          <w:lang w:val="en-US" w:eastAsia="zh-CN" w:bidi="ar-SA"/>
        </w:rPr>
        <w:t>三是推进集中整治，增强群众获得感。一</w:t>
      </w:r>
      <w:r>
        <w:rPr>
          <w:rFonts w:hint="eastAsia" w:ascii="仿宋_GB2312" w:hAnsi="仿宋" w:eastAsia="仿宋_GB2312" w:cs="Times New Roman"/>
          <w:sz w:val="32"/>
          <w:szCs w:val="32"/>
          <w:lang w:val="en-US" w:eastAsia="zh-CN"/>
        </w:rPr>
        <w:t>是高站位谋划部署，超常规推进落实。二是高效率处置问题线索，全流程管控案件质量。三是坚持标本兼治，增强群众获得感。</w:t>
      </w:r>
    </w:p>
    <w:p w14:paraId="2A3CD039">
      <w:pPr>
        <w:keepNext w:val="0"/>
        <w:keepLines w:val="0"/>
        <w:pageBreakBefore w:val="0"/>
        <w:widowControl w:val="0"/>
        <w:wordWrap/>
        <w:overflowPunct/>
        <w:topLinePunct w:val="0"/>
        <w:autoSpaceDE/>
        <w:autoSpaceDN/>
        <w:bidi w:val="0"/>
        <w:adjustRightInd/>
        <w:snapToGrid w:val="0"/>
        <w:spacing w:line="600" w:lineRule="exact"/>
        <w:ind w:firstLine="643" w:firstLineChars="200"/>
        <w:textAlignment w:val="auto"/>
        <w:rPr>
          <w:rFonts w:hint="eastAsia" w:ascii="仿宋_GB2312" w:hAnsi="仿宋" w:eastAsia="仿宋_GB2312" w:cs="Times New Roman"/>
          <w:sz w:val="32"/>
          <w:szCs w:val="32"/>
          <w:lang w:val="en-US" w:eastAsia="zh-CN"/>
        </w:rPr>
      </w:pPr>
      <w:r>
        <w:rPr>
          <w:rFonts w:hint="eastAsia" w:ascii="方正楷体_GBK" w:hAnsi="方正楷体_GBK" w:eastAsia="方正楷体_GBK" w:cs="方正楷体_GBK"/>
          <w:b/>
          <w:bCs/>
          <w:kern w:val="2"/>
          <w:sz w:val="32"/>
          <w:szCs w:val="32"/>
          <w:lang w:val="en-US" w:eastAsia="zh-CN" w:bidi="ar-SA"/>
        </w:rPr>
        <w:t>四是深化政治巡察，持续发挥巡察“利剑”作用。</w:t>
      </w:r>
      <w:r>
        <w:rPr>
          <w:rFonts w:hint="eastAsia" w:ascii="仿宋_GB2312" w:hAnsi="仿宋" w:eastAsia="仿宋_GB2312" w:cs="Times New Roman"/>
          <w:sz w:val="32"/>
          <w:szCs w:val="32"/>
          <w:lang w:val="en-US" w:eastAsia="zh-CN"/>
        </w:rPr>
        <w:t>今年以来，共开展政法领域、医疗卫生领域两个专项巡察，对学校食堂、棚改项目和群腐突出问题整改整治和为民办实事推进情况等3个重点工作开展机动巡察，同步完成对区教体局常规巡察，共发现整改类问题211个，移送问题线索28条。</w:t>
      </w:r>
    </w:p>
    <w:p w14:paraId="41FFE03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sz w:val="32"/>
          <w:szCs w:val="32"/>
          <w:lang w:val="en-US" w:eastAsia="zh-CN"/>
        </w:rPr>
      </w:pPr>
      <w:r>
        <w:rPr>
          <w:rFonts w:hint="eastAsia" w:ascii="方正楷体_GBK" w:hAnsi="方正楷体_GBK" w:eastAsia="方正楷体_GBK" w:cs="方正楷体_GBK"/>
          <w:b/>
          <w:bCs/>
          <w:kern w:val="2"/>
          <w:sz w:val="32"/>
          <w:szCs w:val="32"/>
          <w:lang w:val="en-US" w:eastAsia="zh-CN" w:bidi="ar-SA"/>
        </w:rPr>
        <w:t>五是涵养廉洁文化，推进清廉建设提质增效。</w:t>
      </w:r>
      <w:r>
        <w:rPr>
          <w:rFonts w:hint="eastAsia" w:ascii="仿宋_GB2312" w:hAnsi="仿宋" w:eastAsia="仿宋_GB2312" w:cs="Times New Roman"/>
          <w:sz w:val="32"/>
          <w:szCs w:val="32"/>
          <w:lang w:val="en-US" w:eastAsia="zh-CN"/>
        </w:rPr>
        <w:t>着力打造屈子文化园+河泊潭廉政文化教育基地的廉洁文化示范基地，充分挖掘屈原廉洁文化精神，传承和发展廉洁文化，开办廉洁文化艺术展、廉洁文化分享会等廉洁活动，并在全区新增“屈小原”说廉洁、清风驿站等廉洁元素，打造屈原廉洁文化品牌，推动清风正气化风成俗。</w:t>
      </w:r>
    </w:p>
    <w:p w14:paraId="3FD52C65">
      <w:pPr>
        <w:pStyle w:val="7"/>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方正楷体_GBK" w:hAnsi="方正楷体_GBK" w:eastAsia="方正楷体_GBK" w:cs="方正楷体_GBK"/>
          <w:b/>
          <w:bCs/>
          <w:sz w:val="32"/>
          <w:szCs w:val="32"/>
          <w:lang w:val="en-US" w:eastAsia="zh-CN"/>
        </w:rPr>
        <w:t>六是坚持自我革命精神，锻造高素质专业化纪检监察铁军。</w:t>
      </w:r>
      <w:r>
        <w:rPr>
          <w:rFonts w:hint="eastAsia" w:ascii="仿宋_GB2312" w:hAnsi="仿宋" w:eastAsia="仿宋_GB2312" w:cs="Times New Roman"/>
          <w:kern w:val="2"/>
          <w:sz w:val="32"/>
          <w:szCs w:val="32"/>
          <w:lang w:val="en-US" w:eastAsia="zh-CN" w:bidi="ar-SA"/>
        </w:rPr>
        <w:t>开展纪检监察业务集中学习培训4次，通过“领导专家授课+业务骨干分享经验”的方式开展纪检监察系统“强本领，促履职，铸铁军”全员培训1次，累计参训人数100余人次，选派两名纪检监察业务骨干参加中央北戴河培训并在全区纪检系统全员培训上进行述学。充实干部队伍力量，选派一名干部参与市交流任职，调入3名干部和公开招聘1名干部，接受退役安置干部1名。常态化开展警示教育。组织观看警示教育专题片3次，通报剖析反面典型案例3次。</w:t>
      </w:r>
    </w:p>
    <w:p w14:paraId="38A51B3B">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071267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我单位各项工作落实有力、成效显著，但是资金预算编制水平有待提高，预算执行力度需进一步加强。绩效管理工作不完善。单位按照预算绩效管理的要求，及时申报了绩效管理目标，但绩效管理目标的设定不够细化、量化。</w:t>
      </w:r>
    </w:p>
    <w:p w14:paraId="12B7FF79">
      <w:pPr>
        <w:pStyle w:val="7"/>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下</w:t>
      </w:r>
      <w:r>
        <w:rPr>
          <w:rFonts w:hint="default" w:ascii="Times New Roman" w:hAnsi="Times New Roman" w:eastAsia="黑体" w:cs="Times New Roman"/>
          <w:sz w:val="32"/>
          <w:szCs w:val="32"/>
        </w:rPr>
        <w:t>一步改进措施</w:t>
      </w:r>
    </w:p>
    <w:p w14:paraId="6128C8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（一）加强预算管理，提前做好项目论证，对项目执行中存在的变动提前做好预案，防止预算执行过程中出现偏差；同时加快资金拨付，确保预算执行进度达标。</w:t>
      </w:r>
    </w:p>
    <w:p w14:paraId="636F6E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（二）强化预算编制意识，严格按照预算编制的相关制度和要求做好预算编制工作，进一步提高预算编制的科学性、严谨性和可控性。</w:t>
      </w:r>
    </w:p>
    <w:p w14:paraId="0D72AF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（三）细化绩效目标，定性指标与定量指标均衡设置，从而加强绩效管理，提高资金利用率。</w:t>
      </w:r>
    </w:p>
    <w:p w14:paraId="39D4B78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4B5497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一)通过绩效自评，进一步掌握了资金使用情况和取得的效果，总结了人大政协专项资金管理经验，为今后完善年初预算编制、加强资金使用管理、健全资金支出项目、提高资金绩效管理、加大资金使用效益工作提供了重要的参考依据。</w:t>
      </w:r>
    </w:p>
    <w:p w14:paraId="641B9F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(二)部门整体支出绩效自评报告按照财政要求在规定时间内在政府门户网站上进行公开，接收社会监督。</w:t>
      </w:r>
    </w:p>
    <w:p w14:paraId="7F39C7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14:paraId="6D76C9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509E390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6AC88CB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35956BD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1A8E753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0E6B111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项目支出绩效自评表（</w:t>
      </w:r>
      <w:r>
        <w:rPr>
          <w:rFonts w:hint="eastAsia" w:ascii="Times New Roman" w:hAnsi="Times New Roman" w:eastAsia="仿宋_GB2312" w:cs="Times New Roman"/>
          <w:sz w:val="32"/>
          <w:szCs w:val="32"/>
          <w:lang w:val="en-US" w:eastAsia="zh-CN"/>
        </w:rPr>
        <w:t>纪委专项经费</w:t>
      </w:r>
      <w:r>
        <w:rPr>
          <w:rFonts w:hint="default" w:ascii="Times New Roman" w:hAnsi="Times New Roman" w:eastAsia="仿宋_GB2312" w:cs="Times New Roman"/>
          <w:sz w:val="32"/>
          <w:szCs w:val="32"/>
        </w:rPr>
        <w:t>）</w:t>
      </w:r>
    </w:p>
    <w:p w14:paraId="29380B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项目支出绩效自评表（</w:t>
      </w:r>
      <w:r>
        <w:rPr>
          <w:rFonts w:hint="eastAsia" w:ascii="Times New Roman" w:hAnsi="Times New Roman" w:eastAsia="仿宋_GB2312" w:cs="Times New Roman"/>
          <w:sz w:val="32"/>
          <w:szCs w:val="32"/>
          <w:lang w:val="en-US" w:eastAsia="zh-CN"/>
        </w:rPr>
        <w:t>留置案办案专项经费</w:t>
      </w:r>
      <w:r>
        <w:rPr>
          <w:rFonts w:hint="default" w:ascii="Times New Roman" w:hAnsi="Times New Roman" w:eastAsia="仿宋_GB2312" w:cs="Times New Roman"/>
          <w:sz w:val="32"/>
          <w:szCs w:val="32"/>
        </w:rPr>
        <w:t>）</w:t>
      </w:r>
    </w:p>
    <w:p w14:paraId="737E2A7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项目支出绩效自评表（</w:t>
      </w:r>
      <w:r>
        <w:rPr>
          <w:rFonts w:hint="eastAsia" w:ascii="Times New Roman" w:hAnsi="Times New Roman" w:eastAsia="仿宋_GB2312" w:cs="Times New Roman"/>
          <w:sz w:val="32"/>
          <w:szCs w:val="32"/>
          <w:lang w:val="en-US" w:eastAsia="zh-CN"/>
        </w:rPr>
        <w:t>巡察工作经费</w:t>
      </w:r>
      <w:r>
        <w:rPr>
          <w:rFonts w:hint="default" w:ascii="Times New Roman" w:hAnsi="Times New Roman" w:eastAsia="仿宋_GB2312" w:cs="Times New Roman"/>
          <w:sz w:val="32"/>
          <w:szCs w:val="32"/>
        </w:rPr>
        <w:t>）</w:t>
      </w:r>
    </w:p>
    <w:p w14:paraId="4E8FB5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1129E71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72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1FC3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1FC3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3070D"/>
    <w:multiLevelType w:val="singleLevel"/>
    <w:tmpl w:val="E6E3070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C142961"/>
    <w:rsid w:val="170812E0"/>
    <w:rsid w:val="19B105C1"/>
    <w:rsid w:val="25641E0C"/>
    <w:rsid w:val="29537CE0"/>
    <w:rsid w:val="2D980937"/>
    <w:rsid w:val="2F1F67B3"/>
    <w:rsid w:val="2F8B4A5F"/>
    <w:rsid w:val="3117323C"/>
    <w:rsid w:val="3EF21442"/>
    <w:rsid w:val="40266D21"/>
    <w:rsid w:val="42951620"/>
    <w:rsid w:val="518E198F"/>
    <w:rsid w:val="5302488E"/>
    <w:rsid w:val="5FDB0BAF"/>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2588</Words>
  <Characters>2700</Characters>
  <Lines>0</Lines>
  <Paragraphs>0</Paragraphs>
  <TotalTime>2</TotalTime>
  <ScaleCrop>false</ScaleCrop>
  <LinksUpToDate>false</LinksUpToDate>
  <CharactersWithSpaces>2700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如此</cp:lastModifiedBy>
  <cp:lastPrinted>2025-08-19T02:15:00Z</cp:lastPrinted>
  <dcterms:modified xsi:type="dcterms:W3CDTF">2025-11-09T15:50:25Z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C758BC6BBF1444D0A1E299151111563A</vt:lpwstr>
  </property>
  <property fmtid="{D5CDD505-2E9C-101B-9397-08002B2CF9AE}" pid="4" name="KSOTemplateDocerSaveRecord">
    <vt:lpwstr>eyJoZGlkIjoiYWY4YjY3NGQ2OTI1Y2Y0NmE0ZTFmNzk1MzA5YjZlOWEiLCJ1c2VySWQiOiIxNzU1MDc1MzAxIn0=</vt:lpwstr>
  </property>
</Properties>
</file>