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9E4C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27D4AF1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1472A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中共屈原管理区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纪律检查委员会部门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 w14:paraId="1C5EBF3A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354EC90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8EF4AA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A71633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E1E815E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6CA3FE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5AA12A6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055E4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00BFE1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013013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F9DA3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4ECAFD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FF7A7ED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C2F1A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F6DC5A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部门名称：中共屈原管理区纪律检查委员会</w:t>
      </w:r>
    </w:p>
    <w:p w14:paraId="6347EBBE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5D2B0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F636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中共屈原管理区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纪律检查委员会部门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 w14:paraId="2943D163">
      <w:pPr>
        <w:pStyle w:val="2"/>
      </w:pPr>
    </w:p>
    <w:p w14:paraId="1417D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 w14:paraId="2357B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  <w:r>
        <w:rPr>
          <w:rFonts w:hint="eastAsia" w:eastAsia="楷体_GB2312"/>
          <w:b/>
          <w:sz w:val="32"/>
          <w:szCs w:val="32"/>
          <w:lang w:val="en-US"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</w:rPr>
        <w:t>主要是用于开展党风廉政建设会议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党风廉政建设及反腐败工作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干部作风建设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纪检监察专线网络维护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乡镇纪检组织保障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监督服务微信群维护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巡察工作、留置案件办理等</w:t>
      </w:r>
      <w:r>
        <w:rPr>
          <w:rFonts w:hint="eastAsia" w:ascii="仿宋" w:hAnsi="仿宋" w:eastAsia="仿宋"/>
          <w:sz w:val="32"/>
          <w:szCs w:val="32"/>
          <w:lang w:eastAsia="zh-CN"/>
        </w:rPr>
        <w:t>职能。</w:t>
      </w:r>
    </w:p>
    <w:p w14:paraId="42334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资金使用管理情况。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年在部门预算中安排统计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项目支出124.32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万元，该项目安排的资金支出，主要用于</w:t>
      </w:r>
      <w:r>
        <w:rPr>
          <w:rFonts w:hint="eastAsia" w:ascii="仿宋" w:hAnsi="仿宋" w:eastAsia="仿宋" w:cs="仿宋"/>
          <w:sz w:val="32"/>
          <w:szCs w:val="32"/>
        </w:rPr>
        <w:t>开展党风廉政建设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党风廉政建设及反腐败工作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干部作风建设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纪检监察专线网络维护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乡镇纪检组织保障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监督服务微信群维护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巡察工作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经费、留置案件专项经费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等支出。</w:t>
      </w:r>
    </w:p>
    <w:p w14:paraId="0DF12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年12月31日100%完成任务</w:t>
      </w:r>
      <w:r>
        <w:rPr>
          <w:rFonts w:eastAsia="仿宋_GB2312"/>
          <w:sz w:val="32"/>
          <w:szCs w:val="32"/>
        </w:rPr>
        <w:t>。</w:t>
      </w:r>
    </w:p>
    <w:p w14:paraId="7392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二、绩效评价工作情况</w:t>
      </w:r>
    </w:p>
    <w:p w14:paraId="69DD9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年中共屈原管理区纪律检查委员会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sz w:val="32"/>
          <w:szCs w:val="32"/>
        </w:rPr>
        <w:t>绩效工作评价主要围绕绩效目标任务完成情况、工作质量等方面展开，由项目绩效评价小组根据项目产出和效益情况，客观公正的进行评价。</w:t>
      </w:r>
    </w:p>
    <w:p w14:paraId="540AF20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 w14:paraId="52380E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</w:pPr>
      <w:r>
        <w:rPr>
          <w:rFonts w:hint="eastAsia" w:eastAsia="仿宋_GB2312"/>
          <w:sz w:val="32"/>
          <w:szCs w:val="32"/>
        </w:rPr>
        <w:t>各项工作稳步推进，取得较好效果。</w:t>
      </w:r>
    </w:p>
    <w:p w14:paraId="79BBE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39AB2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支出决策情况</w:t>
      </w:r>
    </w:p>
    <w:p w14:paraId="7CE41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</w:pPr>
      <w:r>
        <w:rPr>
          <w:rFonts w:hint="eastAsia" w:eastAsia="仿宋_GB2312"/>
          <w:sz w:val="32"/>
          <w:szCs w:val="32"/>
        </w:rPr>
        <w:t>每一个项目都按按年初的预算执行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纪委专项经费执行率99.58%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巡察工作经费执行率74.6%、留置案专项办案经费执行率100%</w:t>
      </w:r>
      <w:r>
        <w:rPr>
          <w:rFonts w:hint="eastAsia" w:eastAsia="仿宋_GB2312"/>
          <w:sz w:val="32"/>
          <w:szCs w:val="32"/>
        </w:rPr>
        <w:t>。</w:t>
      </w:r>
    </w:p>
    <w:p w14:paraId="4AE06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执行过程情况</w:t>
      </w:r>
    </w:p>
    <w:p w14:paraId="7555B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项目支出过程严格执行财务管理制度，在保证项目正常运转的同时，坚持厉行节约，确保项目资金使用符合规定，杜绝截留、挤占、挪用和虚列开支等情况。</w:t>
      </w:r>
    </w:p>
    <w:p w14:paraId="31D38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支出产出情况</w:t>
      </w:r>
    </w:p>
    <w:p w14:paraId="55ADF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年度财政拨款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124.32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万元，是指单位为完成特定行政工作任务或事业发展目标而发生的支出，主要用于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纪委专项经费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巡察工作经费、留置案专项办案经费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等方面。</w:t>
      </w:r>
    </w:p>
    <w:p w14:paraId="7272C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支出效益情况</w:t>
      </w:r>
    </w:p>
    <w:p w14:paraId="0168D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年度各项工作稳步推进，取得较好效果。</w:t>
      </w:r>
    </w:p>
    <w:p w14:paraId="34919CEC">
      <w:pPr>
        <w:keepNext w:val="0"/>
        <w:keepLines w:val="0"/>
        <w:pageBreakBefore w:val="0"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26A32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（一）加强预算管理与监督。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强化预算执行过程中的监控和评估，定期审查预算执行情况，及时调整预算分配，避免资金浪费和低效使用。</w:t>
      </w:r>
    </w:p>
    <w:p w14:paraId="0B4B8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highlight w:val="none"/>
          <w:lang w:val="en-US" w:eastAsia="zh-CN" w:bidi="ar-SA"/>
        </w:rPr>
        <w:t>（二）优化资源配置。根据项目需求和资金效益，合理调整资源配置，优先保障关键领域和重点项目的资金需求。</w:t>
      </w:r>
    </w:p>
    <w:p w14:paraId="10C11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六、有关建议</w:t>
      </w:r>
    </w:p>
    <w:p w14:paraId="53FE4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093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eastAsia="黑体"/>
          <w:sz w:val="32"/>
          <w:szCs w:val="32"/>
        </w:rPr>
        <w:t>七、其他需要说明的问题</w:t>
      </w:r>
    </w:p>
    <w:p w14:paraId="20C55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07907"/>
    <w:multiLevelType w:val="singleLevel"/>
    <w:tmpl w:val="22707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41A17A8C"/>
    <w:rsid w:val="0944191A"/>
    <w:rsid w:val="10C82080"/>
    <w:rsid w:val="41A17A8C"/>
    <w:rsid w:val="49CC6AD2"/>
    <w:rsid w:val="50860F3B"/>
    <w:rsid w:val="58FF57BD"/>
    <w:rsid w:val="6DC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71"/>
    <w:basedOn w:val="4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61"/>
    <w:basedOn w:val="4"/>
    <w:autoRedefine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21"/>
    <w:basedOn w:val="4"/>
    <w:autoRedefine/>
    <w:qFormat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3">
    <w:name w:val="font101"/>
    <w:basedOn w:val="4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420</Words>
  <Characters>426</Characters>
  <Lines>0</Lines>
  <Paragraphs>0</Paragraphs>
  <TotalTime>3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Administrator</cp:lastModifiedBy>
  <cp:lastPrinted>2024-05-21T09:01:00Z</cp:lastPrinted>
  <dcterms:modified xsi:type="dcterms:W3CDTF">2025-08-18T09:52:42Z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BD5D1761C20A439E94DFBA9BB14A1F18</vt:lpwstr>
  </property>
  <property fmtid="{D5CDD505-2E9C-101B-9397-08002B2CF9AE}" pid="4" name="KSOTemplateDocerSaveRecord">
    <vt:lpwstr>eyJoZGlkIjoiMzM2N2M3ZTkwZWY0MWM2YThkNzA5Yzc0NzVjZDA3NDkifQ==</vt:lpwstr>
  </property>
</Properties>
</file>