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区委办</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区委办</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pStyle w:val="2"/>
        <w:rPr>
          <w:rFonts w:hint="default"/>
        </w:rPr>
      </w:pPr>
    </w:p>
    <w:p>
      <w:pPr>
        <w:pStyle w:val="9"/>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eastAsia="zh-CN"/>
        </w:rPr>
        <w:t>部门（单位）基本情况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643" w:firstLineChars="200"/>
        <w:jc w:val="both"/>
        <w:textAlignment w:val="auto"/>
        <w:rPr>
          <w:rFonts w:hint="eastAsia" w:ascii="楷体" w:hAnsi="楷体" w:eastAsia="楷体" w:cs="楷体"/>
          <w:b/>
          <w:bCs/>
          <w:i w:val="0"/>
          <w:caps w:val="0"/>
          <w:color w:val="auto"/>
          <w:spacing w:val="0"/>
          <w:sz w:val="32"/>
          <w:szCs w:val="32"/>
        </w:rPr>
      </w:pPr>
      <w:r>
        <w:rPr>
          <w:rFonts w:hint="eastAsia" w:ascii="楷体" w:hAnsi="楷体" w:eastAsia="楷体" w:cs="楷体"/>
          <w:b/>
          <w:bCs/>
          <w:i w:val="0"/>
          <w:caps w:val="0"/>
          <w:color w:val="2B2B2B"/>
          <w:spacing w:val="0"/>
          <w:sz w:val="32"/>
          <w:szCs w:val="32"/>
        </w:rPr>
        <w:t>（一）职能职责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ascii="仿宋" w:hAnsi="仿宋" w:eastAsia="仿宋" w:cs="仿宋"/>
          <w:i w:val="0"/>
          <w:caps w:val="0"/>
          <w:color w:val="2B2B2B"/>
          <w:spacing w:val="0"/>
          <w:sz w:val="32"/>
          <w:szCs w:val="32"/>
        </w:rPr>
        <w:t>　　</w:t>
      </w:r>
      <w:r>
        <w:rPr>
          <w:rFonts w:hint="eastAsia" w:cs="Times New Roman" w:asciiTheme="minorEastAsia" w:hAnsiTheme="minorEastAsia" w:eastAsiaTheme="minorEastAsia"/>
          <w:color w:val="auto"/>
          <w:kern w:val="2"/>
          <w:sz w:val="32"/>
          <w:szCs w:val="32"/>
          <w:lang w:val="en-US" w:eastAsia="zh-CN" w:bidi="ar-SA"/>
        </w:rPr>
        <w:t>1.负责区党委区管委文件、文稿的起草、修改、审核和编发，区党委区管委办公室文件的审核、签发和内刊编印；负责上级文电的拟办、呈签、传递、分发、催办和处理；承办下级报告、请示的呈报、批复和重要文书传阅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2.负责区党委区管委的会务组织与安排，会议报告或区党委区管委领导讲话材料的起草；负责区党委、区管委常务会议的议题征集、记录、整理和区党委、区管委常务会议的决议、决定的督查；承担区党委书记、管委会主任办公会议的组织服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3.负责区党委区管委值班工作，及时向区党委区管委领导同志报告重要情况，协助处理区直各部门和各乡镇（街道）向区党委区管委反映的重要问题。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4.落实区党委区管委和上级领导交办事项；安排区党委区管委领导公务活动，处理区党委区管委日常事务，负责区党委区管委领导后勤服务工作，保证区党委区管委日常工作正常运转。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5.负责收集掌握各类信息，向领导报告上级党委政府及区党委区管委决策的落实情况。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6.会同有关部门监督检查全区各级党组织贯彻执行党的路线、方针、决策和上级党委的指示、决议、决定的情况；完成市委交办的督察任务；催办、处理区党委区管委领导批件、批示。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7.围绕区党委区管委总体工作部署和中心工作深入开展调查研究，掌握全局性情况，为区党委区管委提供有决策参考价值的调研成果。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8.负责区党委保密委员会日常事务和机要、保密工作。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9.配合有关部门，抓好全区办公室队伍思想、组织、业务、作风建设，提高参谋服务水平。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10.负责市委市政府及以上领导来区视察的接待工作。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11.贯彻落实中央、省和市、区以改善民生为重点的社会建设方针政策以及相关部署和决定。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cs="Times New Roman" w:asciiTheme="minorEastAsia" w:hAnsiTheme="minorEastAsia" w:eastAsiaTheme="minorEastAsia"/>
          <w:color w:val="auto"/>
          <w:kern w:val="2"/>
          <w:sz w:val="32"/>
          <w:szCs w:val="32"/>
          <w:lang w:val="en-US" w:eastAsia="zh-CN" w:bidi="ar-SA"/>
        </w:rPr>
      </w:pPr>
      <w:r>
        <w:rPr>
          <w:rFonts w:hint="eastAsia" w:cs="Times New Roman" w:asciiTheme="minorEastAsia" w:hAnsiTheme="minorEastAsia" w:eastAsiaTheme="minorEastAsia"/>
          <w:color w:val="auto"/>
          <w:kern w:val="2"/>
          <w:sz w:val="32"/>
          <w:szCs w:val="32"/>
          <w:lang w:val="en-US" w:eastAsia="zh-CN" w:bidi="ar-SA"/>
        </w:rPr>
        <w:t>　　12.承办区党委和区管委领导交办的其他事项。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eastAsia" w:ascii="楷体" w:hAnsi="楷体" w:eastAsia="楷体" w:cs="楷体"/>
          <w:i w:val="0"/>
          <w:caps w:val="0"/>
          <w:color w:val="2B2B2B"/>
          <w:spacing w:val="0"/>
          <w:sz w:val="32"/>
          <w:szCs w:val="32"/>
        </w:rPr>
      </w:pPr>
      <w:r>
        <w:rPr>
          <w:rFonts w:hint="eastAsia" w:ascii="仿宋" w:hAnsi="仿宋" w:eastAsia="仿宋" w:cs="仿宋"/>
          <w:i w:val="0"/>
          <w:caps w:val="0"/>
          <w:color w:val="2B2B2B"/>
          <w:spacing w:val="0"/>
          <w:sz w:val="32"/>
          <w:szCs w:val="32"/>
        </w:rPr>
        <w:t>　</w:t>
      </w:r>
      <w:r>
        <w:rPr>
          <w:rFonts w:hint="eastAsia" w:ascii="仿宋" w:hAnsi="仿宋" w:eastAsia="仿宋" w:cs="仿宋"/>
          <w:b/>
          <w:bCs/>
          <w:i w:val="0"/>
          <w:caps w:val="0"/>
          <w:color w:val="2B2B2B"/>
          <w:spacing w:val="0"/>
          <w:sz w:val="32"/>
          <w:szCs w:val="32"/>
        </w:rPr>
        <w:t>　</w:t>
      </w:r>
      <w:r>
        <w:rPr>
          <w:rFonts w:hint="eastAsia" w:ascii="楷体" w:hAnsi="楷体" w:eastAsia="楷体" w:cs="楷体"/>
          <w:b/>
          <w:bCs/>
          <w:i w:val="0"/>
          <w:caps w:val="0"/>
          <w:color w:val="2B2B2B"/>
          <w:spacing w:val="0"/>
          <w:sz w:val="32"/>
          <w:szCs w:val="32"/>
        </w:rPr>
        <w:t>（二）机构设置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0"/>
        <w:jc w:val="both"/>
        <w:textAlignment w:val="auto"/>
        <w:rPr>
          <w:rFonts w:hint="default"/>
        </w:rPr>
      </w:pPr>
      <w:r>
        <w:rPr>
          <w:rFonts w:hint="eastAsia" w:ascii="仿宋" w:hAnsi="仿宋" w:eastAsia="仿宋" w:cs="仿宋"/>
          <w:i w:val="0"/>
          <w:caps w:val="0"/>
          <w:color w:val="2B2B2B"/>
          <w:spacing w:val="0"/>
          <w:sz w:val="32"/>
          <w:szCs w:val="32"/>
        </w:rPr>
        <w:t>　</w:t>
      </w:r>
      <w:r>
        <w:rPr>
          <w:rFonts w:hint="eastAsia" w:cs="Times New Roman" w:asciiTheme="minorEastAsia" w:hAnsiTheme="minorEastAsia" w:eastAsiaTheme="minorEastAsia"/>
          <w:color w:val="auto"/>
          <w:kern w:val="2"/>
          <w:sz w:val="32"/>
          <w:szCs w:val="32"/>
          <w:lang w:val="en-US" w:eastAsia="zh-CN" w:bidi="ar-SA"/>
        </w:rPr>
        <w:t>　根据编办核定，中共屈原管理区委办公室与屈原管理区管委会办公室合署办公，加挂屈原管理区档案局牌子，设立7个内设机构,分别为：区党委党史研究室、区政策研究中心、区委全面深化改革委员会办公室，区委外事工作委员会办公室，区委财经委员会办公室，区委台湾工作办公室、区管委台湾事务办公室，区委保密委员会办公室。区党委办、区管委办机关核定行政编制15名；核定领导职数15名，其中：主任1名，常务副主任1名，副主任7名，督查专员2名，区委全面深化改革领导小组办公室专职副主任2名（1名可为正科级领导职数），保密委员会专职副主任1名（可为正科级领导职数），优化办主任1名、国家安全委员会专职副主任1名（兼任副主任）。</w:t>
      </w:r>
    </w:p>
    <w:p>
      <w:pPr>
        <w:pStyle w:val="9"/>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kinsoku/>
        <w:wordWrap/>
        <w:overflowPunct/>
        <w:topLinePunct w:val="0"/>
        <w:autoSpaceDE w:val="0"/>
        <w:autoSpaceDN/>
        <w:bidi w:val="0"/>
        <w:adjustRightInd/>
        <w:snapToGrid/>
        <w:spacing w:line="600" w:lineRule="exact"/>
        <w:ind w:firstLine="640" w:firstLineChars="200"/>
        <w:jc w:val="left"/>
        <w:textAlignment w:val="auto"/>
        <w:rPr>
          <w:rFonts w:hint="eastAsia" w:ascii="仿宋" w:hAnsi="仿宋" w:eastAsia="仿宋" w:cs="宋体"/>
          <w:color w:val="2B2B2B"/>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406.95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323.82</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79.57</w:t>
      </w:r>
      <w:r>
        <w:rPr>
          <w:rFonts w:hint="eastAsia" w:asciiTheme="minorEastAsia" w:hAnsiTheme="minorEastAsia" w:eastAsiaTheme="minorEastAsia"/>
          <w:sz w:val="32"/>
          <w:szCs w:val="32"/>
        </w:rPr>
        <w:t>%,主要包括：基本工资、津贴补贴、奖金、伙食补助费、机关事业单位基本养老保险缴费、其他社会保障缴费、其他工资福利支出、住房公积金等；公用经费</w:t>
      </w:r>
      <w:r>
        <w:rPr>
          <w:rFonts w:hint="eastAsia" w:asciiTheme="minorEastAsia" w:hAnsiTheme="minorEastAsia"/>
          <w:sz w:val="32"/>
          <w:szCs w:val="32"/>
          <w:lang w:val="en-US" w:eastAsia="zh-CN"/>
        </w:rPr>
        <w:t>83.13万</w:t>
      </w:r>
      <w:r>
        <w:rPr>
          <w:rFonts w:hint="eastAsia" w:asciiTheme="minorEastAsia" w:hAnsiTheme="minorEastAsia" w:eastAsiaTheme="minorEastAsia"/>
          <w:sz w:val="32"/>
          <w:szCs w:val="32"/>
        </w:rPr>
        <w:t>元，占基本支出的</w:t>
      </w:r>
      <w:r>
        <w:rPr>
          <w:rFonts w:hint="eastAsia" w:asciiTheme="minorEastAsia" w:hAnsiTheme="minorEastAsia"/>
          <w:sz w:val="32"/>
          <w:szCs w:val="32"/>
          <w:lang w:val="en-US" w:eastAsia="zh-CN"/>
        </w:rPr>
        <w:t>20.43</w:t>
      </w:r>
      <w:r>
        <w:rPr>
          <w:rFonts w:hint="eastAsia" w:asciiTheme="minorEastAsia" w:hAnsiTheme="minorEastAsia" w:eastAsiaTheme="minorEastAsia"/>
          <w:sz w:val="32"/>
          <w:szCs w:val="32"/>
        </w:rPr>
        <w:t>%，主要包括：办公费、印刷费、差旅费、维修（护）费、</w:t>
      </w:r>
      <w:r>
        <w:rPr>
          <w:rFonts w:hint="eastAsia" w:asciiTheme="minorEastAsia" w:hAnsiTheme="minorEastAsia" w:eastAsiaTheme="minorEastAsia"/>
          <w:sz w:val="32"/>
          <w:szCs w:val="32"/>
          <w:lang w:val="en-US" w:eastAsia="zh-CN"/>
        </w:rPr>
        <w:t>劳务费、租赁</w:t>
      </w:r>
      <w:r>
        <w:rPr>
          <w:rFonts w:hint="eastAsia" w:asciiTheme="minorEastAsia" w:hAnsiTheme="minorEastAsia" w:eastAsiaTheme="minorEastAsia"/>
          <w:sz w:val="32"/>
          <w:szCs w:val="32"/>
        </w:rPr>
        <w:t>费、委托业务费、工会经费、其他交通费</w:t>
      </w:r>
      <w:r>
        <w:rPr>
          <w:rFonts w:hint="eastAsia" w:asciiTheme="minorEastAsia" w:hAnsiTheme="minorEastAsia" w:eastAsiaTheme="minorEastAsia"/>
          <w:sz w:val="32"/>
          <w:szCs w:val="32"/>
          <w:lang w:val="en-US" w:eastAsia="zh-CN"/>
        </w:rPr>
        <w:t>用</w:t>
      </w:r>
      <w:r>
        <w:rPr>
          <w:rFonts w:hint="eastAsia" w:asciiTheme="minorEastAsia" w:hAnsiTheme="minorEastAsia" w:eastAsiaTheme="minorEastAsia"/>
          <w:sz w:val="32"/>
          <w:szCs w:val="32"/>
        </w:rPr>
        <w:t>、其他商品和服务支出等。</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项目支出情况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cs="Times New Roman" w:asciiTheme="minorEastAsia" w:hAnsiTheme="minorEastAsia" w:eastAsiaTheme="minorEastAsia"/>
          <w:kern w:val="2"/>
          <w:sz w:val="32"/>
          <w:szCs w:val="32"/>
          <w:lang w:val="en-US" w:eastAsia="zh-CN" w:bidi="ar-SA"/>
        </w:rPr>
      </w:pPr>
      <w:r>
        <w:rPr>
          <w:rFonts w:hint="eastAsia" w:ascii="Times New Roman" w:hAnsi="Times New Roman" w:eastAsia="楷体_GB2312" w:cs="Times New Roman"/>
          <w:b/>
          <w:sz w:val="32"/>
          <w:szCs w:val="32"/>
          <w:lang w:val="en-US" w:eastAsia="zh-CN"/>
        </w:rPr>
        <w:t xml:space="preserve">    </w:t>
      </w:r>
      <w:r>
        <w:rPr>
          <w:rFonts w:hint="eastAsia" w:cs="Times New Roman" w:asciiTheme="minorEastAsia" w:hAnsiTheme="minorEastAsia" w:eastAsiaTheme="minorEastAsia"/>
          <w:kern w:val="2"/>
          <w:sz w:val="32"/>
          <w:szCs w:val="32"/>
          <w:lang w:val="en-US" w:eastAsia="zh-CN" w:bidi="ar-SA"/>
        </w:rPr>
        <w:t xml:space="preserve"> 2024年度财政拨款项目支出169.76万元，是指单位为完成特定行政工作任务或事业发展目标而发生的支出，主要用于办公室各线工作运转、档案馆专项管理、年鉴编纂及出版、援藏干部工作经费、武装经费等方面。</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rPr>
        <w:t>根据预算绩效管理要求，</w:t>
      </w:r>
      <w:r>
        <w:rPr>
          <w:rFonts w:hint="eastAsia" w:ascii="Times New Roman" w:hAnsi="Times New Roman" w:eastAsia="仿宋_GB2312" w:cs="Times New Roman"/>
          <w:color w:val="000000"/>
          <w:sz w:val="32"/>
          <w:szCs w:val="32"/>
          <w:lang w:val="en-US" w:eastAsia="zh-CN"/>
        </w:rPr>
        <w:t>我部门</w:t>
      </w:r>
      <w:r>
        <w:rPr>
          <w:rFonts w:hint="eastAsia" w:ascii="Times New Roman" w:hAnsi="Times New Roman" w:eastAsia="仿宋_GB2312" w:cs="Times New Roman"/>
          <w:color w:val="000000"/>
          <w:sz w:val="32"/>
          <w:szCs w:val="32"/>
          <w:lang w:eastAsia="zh-CN"/>
        </w:rPr>
        <w:t>组织对单位开展整体支出绩效评价，涉及一般公共预算支出</w:t>
      </w:r>
      <w:r>
        <w:rPr>
          <w:rFonts w:hint="eastAsia" w:ascii="Times New Roman" w:hAnsi="Times New Roman" w:eastAsia="仿宋_GB2312" w:cs="Times New Roman"/>
          <w:color w:val="000000"/>
          <w:sz w:val="32"/>
          <w:szCs w:val="32"/>
          <w:lang w:val="en-US" w:eastAsia="zh-CN"/>
        </w:rPr>
        <w:t>576.71</w:t>
      </w:r>
      <w:r>
        <w:rPr>
          <w:rFonts w:hint="eastAsia" w:ascii="Times New Roman" w:hAnsi="Times New Roman" w:eastAsia="仿宋_GB2312" w:cs="Times New Roman"/>
          <w:color w:val="000000"/>
          <w:sz w:val="32"/>
          <w:szCs w:val="32"/>
          <w:lang w:eastAsia="zh-CN"/>
        </w:rPr>
        <w:t>万元，政府性基金预算支出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国有资本经营预算支出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eastAsia="zh-CN"/>
        </w:rPr>
        <w:t>社会保险基金预算支出</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eastAsia="zh-CN"/>
        </w:rPr>
        <w:t>万元。从评价来看，</w:t>
      </w:r>
      <w:r>
        <w:rPr>
          <w:rFonts w:hint="eastAsia" w:ascii="Times New Roman" w:hAnsi="Times New Roman" w:eastAsia="仿宋_GB2312" w:cs="Times New Roman"/>
          <w:color w:val="000000"/>
          <w:sz w:val="32"/>
          <w:szCs w:val="32"/>
          <w:lang w:val="en-US" w:eastAsia="zh-CN"/>
        </w:rPr>
        <w:t>单位整体绩效管理情况均为优秀，能够及时完成年初预算绩效目标。单位整体绩效支出决策、执行过程、产出及效益情况均符合绩效管理相关规定。主要做到了以下几点：</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 完成了预期目标任务</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2024年初，区委办将全年项目进行任务分解，确定目标，责任到人，按期进行，确保每项工作进展有序。</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2、提高了政府工作效率</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2024年，我办通过采取各项有效措施，改善工作环境，激发全体干部工作积极性，优化干部队伍结构，提高政府工作效率，全年绩效管理工作得到了全体党员干部的支持。</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 改善了政府工作形象 </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2024年，通过机关绿化维护、机关食堂建设、大楼整体维护等实际措施，不懈努力，以提高干部办事效率为基础，帮助提升政府形象，广大群众反映良好。</w:t>
      </w:r>
    </w:p>
    <w:p>
      <w:pPr>
        <w:pStyle w:val="9"/>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（一）组织保障尚待强化</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由于区委办人员紧缺、绩效工作专业性强等因素，机构人员配备不全，缺少专业人员指导培训，有一人身兼多职的情况，虽能保障绩效工作的有序进行，但影响了绩效工作的时效性以及整体绩效评估的优质性。</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（二）制度体系尚待健全</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区委办在规范绩效目标、绩效跟踪、绩效评价、结果运用等各项管理制度，和财政局对于确保绩效管理与预算编制、执行、监督的有效衔接方面还有待进一步加强，本部门预算绩效管理制度和操作流程，与财政局的相关规定要求相比较，还存在一定的差距。</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（一）加强组织领导，健全体制机制</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在现有预算绩效管理工作小组的基础上，加强小组成员的配备以及各成员业务知识培训，形成统一领导，预算绩效管理工作小组具体负责预算支出绩效管理机制和工作机制，确保绩效建设工作扎实深入开展。</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 严格制定目标任务，落实责任分解</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从资金运用、进度计划、绩效目标、效益指标等方面将各个绩效指标量化、细化。并按照工作内容、工作措施、工作时限和预期目标效果，进一步分解细化，将责任落实到人，确保项目建设持续有效。</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 继续加强绩效监控，有效整改督查</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注重对绩效运行过程实施全目标、全过程、全方位的监控，积极跟踪年度目标任务执行情况，分析各项绩效指标阶段性完成情况。根据绩效跟踪监控情况，及时、有效地开展项目绩效自评，通过评价结果，发现问题、解决问题，进一步完善项目绩效管理工作。</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（四）加强财务管理，规范预算支出</w:t>
      </w:r>
    </w:p>
    <w:p>
      <w:pPr>
        <w:pStyle w:val="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480" w:firstLineChars="15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严格按照预算规定的项目及用途开支经费，进一步规范财务审批手续。将预算执行分析、项目管理分析常态化，为预算绩效管理工作提供有力保障。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00" w:lineRule="exact"/>
        <w:ind w:firstLine="684" w:firstLineChars="200"/>
        <w:jc w:val="both"/>
        <w:textAlignment w:val="auto"/>
        <w:rPr>
          <w:rFonts w:hint="eastAsia"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 xml:space="preserve"> (一)通过绩效自评，进一步掌</w:t>
      </w:r>
      <w:bookmarkStart w:id="0" w:name="_GoBack"/>
      <w:bookmarkEnd w:id="0"/>
      <w:r>
        <w:rPr>
          <w:rFonts w:hint="eastAsia" w:ascii="Times New Roman" w:hAnsi="Times New Roman" w:eastAsia="仿宋_GB2312" w:cs="Times New Roman"/>
          <w:color w:val="000000"/>
          <w:spacing w:val="11"/>
          <w:kern w:val="2"/>
          <w:sz w:val="32"/>
          <w:szCs w:val="32"/>
          <w:highlight w:val="none"/>
          <w:lang w:val="en-US" w:eastAsia="zh-CN" w:bidi="ar-SA"/>
        </w:rPr>
        <w:t>握了资金使用情况和取得的效果，总结了专项资金管理经验，为今后完善年初预算编制、加强资金使用管理、健全资金支出项目、提高资金绩效管理、加大资金使用效益工作提供了重要的参考依据。</w:t>
      </w:r>
    </w:p>
    <w:p>
      <w:pPr>
        <w:pStyle w:val="4"/>
        <w:keepNext w:val="0"/>
        <w:keepLines w:val="0"/>
        <w:pageBreakBefore w:val="0"/>
        <w:kinsoku/>
        <w:wordWrap/>
        <w:overflowPunct/>
        <w:topLinePunct w:val="0"/>
        <w:autoSpaceDN/>
        <w:bidi w:val="0"/>
        <w:adjustRightInd/>
        <w:snapToGrid/>
        <w:spacing w:line="600" w:lineRule="exact"/>
        <w:ind w:firstLine="684" w:firstLineChars="200"/>
        <w:textAlignment w:val="auto"/>
        <w:rPr>
          <w:rFonts w:hint="default" w:ascii="Times New Roman" w:hAnsi="Times New Roman" w:eastAsia="仿宋_GB2312" w:cs="Times New Roman"/>
          <w:color w:val="000000"/>
          <w:spacing w:val="11"/>
          <w:kern w:val="2"/>
          <w:sz w:val="32"/>
          <w:szCs w:val="32"/>
          <w:highlight w:val="none"/>
          <w:lang w:val="en-US" w:eastAsia="zh-CN" w:bidi="ar-SA"/>
        </w:rPr>
      </w:pPr>
      <w:r>
        <w:rPr>
          <w:rFonts w:hint="eastAsia" w:ascii="Times New Roman" w:hAnsi="Times New Roman" w:eastAsia="仿宋_GB2312" w:cs="Times New Roman"/>
          <w:color w:val="000000"/>
          <w:spacing w:val="11"/>
          <w:kern w:val="2"/>
          <w:sz w:val="32"/>
          <w:szCs w:val="32"/>
          <w:highlight w:val="none"/>
          <w:lang w:val="en-US" w:eastAsia="zh-CN" w:bidi="ar-SA"/>
        </w:rPr>
        <w:t>(二)部门整体支出绩效自评报告按照财政要求在规定时间内在政府门户网站上进行公开，接收社会监督。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其他需要说明的情况</w:t>
      </w:r>
    </w:p>
    <w:p>
      <w:pPr>
        <w:pStyle w:val="4"/>
        <w:keepNext w:val="0"/>
        <w:keepLines w:val="0"/>
        <w:pageBreakBefore w:val="0"/>
        <w:kinsoku/>
        <w:wordWrap/>
        <w:overflowPunct/>
        <w:topLinePunct w:val="0"/>
        <w:autoSpaceDN/>
        <w:bidi w:val="0"/>
        <w:adjustRightInd/>
        <w:snapToGrid/>
        <w:spacing w:line="600" w:lineRule="exact"/>
        <w:textAlignment w:val="auto"/>
        <w:rPr>
          <w:rFonts w:hint="default" w:eastAsia="黑体"/>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color w:val="000000"/>
          <w:spacing w:val="11"/>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08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5BD33"/>
    <w:multiLevelType w:val="singleLevel"/>
    <w:tmpl w:val="E725BD33"/>
    <w:lvl w:ilvl="0" w:tentative="0">
      <w:start w:val="4"/>
      <w:numFmt w:val="chineseCounting"/>
      <w:suff w:val="nothing"/>
      <w:lvlText w:val="%1、"/>
      <w:lvlJc w:val="left"/>
      <w:rPr>
        <w:rFonts w:hint="eastAsia"/>
      </w:rPr>
    </w:lvl>
  </w:abstractNum>
  <w:abstractNum w:abstractNumId="1">
    <w:nsid w:val="F304154C"/>
    <w:multiLevelType w:val="singleLevel"/>
    <w:tmpl w:val="F304154C"/>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ZWRhYzZjZjlhODZjMmU4MjY2NTZmYzkwOGJkMmMifQ=="/>
  </w:docVars>
  <w:rsids>
    <w:rsidRoot w:val="170812E0"/>
    <w:rsid w:val="065650F7"/>
    <w:rsid w:val="0E326D66"/>
    <w:rsid w:val="130474EB"/>
    <w:rsid w:val="170812E0"/>
    <w:rsid w:val="198128F0"/>
    <w:rsid w:val="26552ECD"/>
    <w:rsid w:val="281F01AF"/>
    <w:rsid w:val="400467FA"/>
    <w:rsid w:val="5158244B"/>
    <w:rsid w:val="53A10680"/>
    <w:rsid w:val="66BE4011"/>
    <w:rsid w:val="67247FFE"/>
    <w:rsid w:val="6E043671"/>
    <w:rsid w:val="766255BA"/>
    <w:rsid w:val="7CA940BF"/>
    <w:rsid w:val="7EE311A9"/>
    <w:rsid w:val="7FF1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w:basedOn w:val="1"/>
    <w:qFormat/>
    <w:uiPriority w:val="0"/>
    <w:pPr>
      <w:spacing w:after="120" w:afterLines="0" w:afterAutospacing="0"/>
    </w:pPr>
  </w:style>
  <w:style w:type="paragraph" w:styleId="5">
    <w:name w:val="Normal (Web)"/>
    <w:basedOn w:val="1"/>
    <w:qFormat/>
    <w:uiPriority w:val="0"/>
    <w:pPr>
      <w:widowControl/>
      <w:spacing w:before="100" w:beforeAutospacing="1" w:after="100" w:afterAutospacing="1"/>
    </w:pPr>
    <w:rPr>
      <w:rFonts w:ascii="宋体" w:hAnsi="宋体" w:cs="宋体"/>
      <w:color w:val="000000"/>
      <w:kern w:val="0"/>
      <w:sz w:val="24"/>
    </w:rPr>
  </w:style>
  <w:style w:type="paragraph" w:customStyle="1" w:styleId="8">
    <w:name w:val="BodyText1I"/>
    <w:basedOn w:val="1"/>
    <w:qFormat/>
    <w:uiPriority w:val="99"/>
    <w:pPr>
      <w:snapToGrid w:val="0"/>
      <w:spacing w:line="360" w:lineRule="auto"/>
      <w:ind w:firstLine="420" w:firstLineChars="100"/>
    </w:pPr>
    <w:rPr>
      <w:sz w:val="28"/>
      <w:szCs w:val="20"/>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1722</Words>
  <Characters>1781</Characters>
  <Lines>0</Lines>
  <Paragraphs>0</Paragraphs>
  <TotalTime>4</TotalTime>
  <ScaleCrop>false</ScaleCrop>
  <LinksUpToDate>false</LinksUpToDate>
  <CharactersWithSpaces>1805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兔子</cp:lastModifiedBy>
  <dcterms:modified xsi:type="dcterms:W3CDTF">2025-08-29T08:51:34Z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163B77889B5C44D3AFB30A149E6F3876_13</vt:lpwstr>
  </property>
  <property fmtid="{D5CDD505-2E9C-101B-9397-08002B2CF9AE}" pid="4" name="KSOTemplateDocerSaveRecord">
    <vt:lpwstr>eyJoZGlkIjoiYTJhZWRhYzZjZjlhODZjMmU4MjY2NTZmYzkwOGJkMmMifQ==</vt:lpwstr>
  </property>
</Properties>
</file>