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34B4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3F6056C">
      <w:pPr>
        <w:jc w:val="center"/>
        <w:rPr>
          <w:rFonts w:hint="default" w:ascii="Times New Roman" w:hAnsi="Times New Roman" w:eastAsia="方正小标宋_GBK" w:cs="Times New Roman"/>
          <w:sz w:val="52"/>
          <w:szCs w:val="52"/>
        </w:rPr>
      </w:pPr>
    </w:p>
    <w:p w14:paraId="73DD862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医疗保障局</w:t>
      </w:r>
      <w:r>
        <w:rPr>
          <w:rFonts w:hint="eastAsia" w:ascii="方正小标宋简体" w:hAnsi="方正小标宋简体" w:eastAsia="方正小标宋简体" w:cs="方正小标宋简体"/>
          <w:sz w:val="44"/>
          <w:szCs w:val="44"/>
        </w:rPr>
        <w:t>整体支出</w:t>
      </w:r>
    </w:p>
    <w:p w14:paraId="5A4DF36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49505D4E">
      <w:pPr>
        <w:jc w:val="center"/>
        <w:rPr>
          <w:rFonts w:hint="default" w:ascii="Times New Roman" w:hAnsi="Times New Roman" w:eastAsia="方正小标宋_GBK" w:cs="Times New Roman"/>
          <w:b/>
          <w:sz w:val="52"/>
          <w:szCs w:val="52"/>
        </w:rPr>
      </w:pPr>
    </w:p>
    <w:p w14:paraId="2B5BF932">
      <w:pPr>
        <w:jc w:val="center"/>
        <w:rPr>
          <w:rFonts w:hint="default" w:ascii="Times New Roman" w:hAnsi="Times New Roman" w:eastAsia="楷体_GB2312" w:cs="Times New Roman"/>
          <w:b/>
          <w:sz w:val="32"/>
          <w:szCs w:val="32"/>
        </w:rPr>
      </w:pPr>
    </w:p>
    <w:p w14:paraId="06FA73F6">
      <w:pPr>
        <w:jc w:val="center"/>
        <w:rPr>
          <w:rFonts w:hint="default" w:ascii="Times New Roman" w:hAnsi="Times New Roman" w:eastAsia="楷体_GB2312" w:cs="Times New Roman"/>
          <w:b/>
          <w:sz w:val="32"/>
          <w:szCs w:val="32"/>
        </w:rPr>
      </w:pPr>
    </w:p>
    <w:p w14:paraId="40372FD4">
      <w:pPr>
        <w:jc w:val="center"/>
        <w:rPr>
          <w:rFonts w:hint="default" w:ascii="Times New Roman" w:hAnsi="Times New Roman" w:eastAsia="楷体_GB2312" w:cs="Times New Roman"/>
          <w:b/>
          <w:sz w:val="32"/>
          <w:szCs w:val="32"/>
        </w:rPr>
      </w:pPr>
    </w:p>
    <w:p w14:paraId="3EB057B2">
      <w:pPr>
        <w:jc w:val="both"/>
        <w:rPr>
          <w:rFonts w:hint="default" w:ascii="Times New Roman" w:hAnsi="Times New Roman" w:eastAsia="楷体_GB2312" w:cs="Times New Roman"/>
          <w:b/>
          <w:sz w:val="32"/>
          <w:szCs w:val="32"/>
        </w:rPr>
      </w:pPr>
    </w:p>
    <w:p w14:paraId="527B6430">
      <w:pPr>
        <w:jc w:val="center"/>
        <w:rPr>
          <w:rFonts w:hint="default" w:ascii="Times New Roman" w:hAnsi="Times New Roman" w:eastAsia="楷体_GB2312" w:cs="Times New Roman"/>
          <w:b/>
          <w:sz w:val="32"/>
          <w:szCs w:val="32"/>
        </w:rPr>
      </w:pPr>
    </w:p>
    <w:p w14:paraId="0B4F663A">
      <w:pPr>
        <w:jc w:val="center"/>
        <w:rPr>
          <w:rFonts w:hint="default" w:ascii="Times New Roman" w:hAnsi="Times New Roman" w:eastAsia="黑体" w:cs="Times New Roman"/>
          <w:sz w:val="32"/>
          <w:szCs w:val="32"/>
        </w:rPr>
      </w:pPr>
    </w:p>
    <w:p w14:paraId="3351D18F">
      <w:pPr>
        <w:jc w:val="center"/>
        <w:rPr>
          <w:rFonts w:hint="default" w:ascii="Times New Roman" w:hAnsi="Times New Roman" w:eastAsia="黑体" w:cs="Times New Roman"/>
          <w:sz w:val="32"/>
          <w:szCs w:val="32"/>
        </w:rPr>
      </w:pPr>
    </w:p>
    <w:p w14:paraId="7327A79B">
      <w:pPr>
        <w:jc w:val="center"/>
        <w:rPr>
          <w:rFonts w:hint="default" w:ascii="Times New Roman" w:hAnsi="Times New Roman" w:eastAsia="黑体" w:cs="Times New Roman"/>
          <w:sz w:val="32"/>
          <w:szCs w:val="32"/>
        </w:rPr>
      </w:pPr>
    </w:p>
    <w:p w14:paraId="6ADDF46A">
      <w:pPr>
        <w:jc w:val="center"/>
        <w:rPr>
          <w:rFonts w:hint="default" w:ascii="Times New Roman" w:hAnsi="Times New Roman" w:eastAsia="黑体" w:cs="Times New Roman"/>
          <w:sz w:val="32"/>
          <w:szCs w:val="32"/>
        </w:rPr>
      </w:pPr>
    </w:p>
    <w:p w14:paraId="5E241C2C">
      <w:pPr>
        <w:jc w:val="center"/>
        <w:rPr>
          <w:rFonts w:hint="default" w:ascii="Times New Roman" w:hAnsi="Times New Roman" w:eastAsia="黑体" w:cs="Times New Roman"/>
          <w:sz w:val="32"/>
          <w:szCs w:val="32"/>
        </w:rPr>
      </w:pPr>
    </w:p>
    <w:p w14:paraId="729DE2D9">
      <w:pPr>
        <w:jc w:val="center"/>
        <w:rPr>
          <w:rFonts w:hint="default" w:ascii="Times New Roman" w:hAnsi="Times New Roman" w:eastAsia="黑体" w:cs="Times New Roman"/>
          <w:sz w:val="32"/>
          <w:szCs w:val="32"/>
        </w:rPr>
      </w:pPr>
    </w:p>
    <w:p w14:paraId="7F649728">
      <w:pPr>
        <w:jc w:val="both"/>
        <w:rPr>
          <w:rFonts w:hint="default" w:ascii="Times New Roman" w:hAnsi="Times New Roman" w:eastAsia="黑体" w:cs="Times New Roman"/>
          <w:sz w:val="32"/>
          <w:szCs w:val="32"/>
        </w:rPr>
      </w:pPr>
    </w:p>
    <w:p w14:paraId="652C4B12">
      <w:pPr>
        <w:jc w:val="center"/>
        <w:rPr>
          <w:rFonts w:hint="default" w:ascii="Times New Roman" w:hAnsi="Times New Roman" w:eastAsia="黑体" w:cs="Times New Roman"/>
          <w:sz w:val="32"/>
          <w:szCs w:val="32"/>
        </w:rPr>
      </w:pPr>
    </w:p>
    <w:p w14:paraId="70F397F8">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EB58C08">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 xml:space="preserve"> 日</w:t>
      </w:r>
    </w:p>
    <w:p w14:paraId="4CA23D3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4E160BC5">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医保局</w:t>
      </w:r>
      <w:r>
        <w:rPr>
          <w:rFonts w:hint="eastAsia" w:ascii="方正小标宋简体" w:hAnsi="方正小标宋简体" w:eastAsia="方正小标宋简体" w:cs="方正小标宋简体"/>
          <w:sz w:val="44"/>
          <w:szCs w:val="44"/>
        </w:rPr>
        <w:t>整体支出</w:t>
      </w:r>
    </w:p>
    <w:p w14:paraId="31EA677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B491739">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690FA1E9">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单位基本情况</w:t>
      </w:r>
    </w:p>
    <w:p w14:paraId="5E015996">
      <w:pPr>
        <w:pStyle w:val="2"/>
        <w:numPr>
          <w:ilvl w:val="0"/>
          <w:numId w:val="0"/>
        </w:num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本单位主要由医疗保障局机关，下设区医疗保障事务中心、区医疗保障稽核信息中心构成，主要负责拟定全区社会医疗保险、生育保险、医疗救助等医疗保障制度及相关社会职能的地方性政策、规划、标准并组织实施；落实国家、省、市医疗保障各项待遇政策，建立健全与筹资水平相适应的待遇调整机制；贯彻执行全省城乡统一的药品医用耗材、医疗服务项目、医疗服务设施等医保目录和岳阳市统一的支付标准；按照党中央、国务院关于转变政府职能、深化放管服改革，深入推进审批服务便民化的决策部署，组织推进本部门转变政府职能，完成国家、省、市医疗保障局和区委、区管委安排的各项任务。</w:t>
      </w:r>
    </w:p>
    <w:p w14:paraId="1554FDB5">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F5678C2">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（一）基本支出情况</w:t>
      </w:r>
    </w:p>
    <w:p w14:paraId="7056B22B">
      <w:pPr>
        <w:pStyle w:val="2"/>
        <w:numPr>
          <w:ilvl w:val="0"/>
          <w:numId w:val="0"/>
        </w:numPr>
        <w:ind w:firstLine="640" w:firstLineChars="200"/>
        <w:rPr>
          <w:rFonts w:hint="default" w:ascii="Times New Roman" w:hAnsi="Times New Roman" w:eastAsia="楷体_GB2312" w:cs="Times New Roman"/>
          <w:b/>
          <w:sz w:val="32"/>
          <w:szCs w:val="32"/>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年度财政拨款基本支出</w:t>
      </w:r>
      <w:r>
        <w:rPr>
          <w:rFonts w:hint="eastAsia" w:ascii="仿宋_GB2312" w:hAnsi="仿宋_GB2312" w:eastAsia="仿宋_GB2312" w:cs="仿宋_GB2312"/>
          <w:sz w:val="32"/>
          <w:szCs w:val="32"/>
          <w:lang w:val="en-US" w:eastAsia="zh-CN"/>
        </w:rPr>
        <w:t>133.76</w:t>
      </w:r>
      <w:r>
        <w:rPr>
          <w:rFonts w:hint="default" w:ascii="仿宋_GB2312" w:hAnsi="仿宋_GB2312" w:eastAsia="仿宋_GB2312" w:cs="仿宋_GB2312"/>
          <w:sz w:val="32"/>
          <w:szCs w:val="32"/>
          <w:lang w:val="en-US" w:eastAsia="zh-CN"/>
        </w:rPr>
        <w:t>万元，其中：人员经费</w:t>
      </w:r>
      <w:r>
        <w:rPr>
          <w:rFonts w:hint="eastAsia" w:ascii="仿宋_GB2312" w:hAnsi="仿宋_GB2312" w:eastAsia="仿宋_GB2312" w:cs="仿宋_GB2312"/>
          <w:sz w:val="32"/>
          <w:szCs w:val="32"/>
          <w:lang w:val="en-US" w:eastAsia="zh-CN"/>
        </w:rPr>
        <w:t>113.51</w:t>
      </w:r>
      <w:r>
        <w:rPr>
          <w:rFonts w:hint="default" w:ascii="仿宋_GB2312" w:hAnsi="仿宋_GB2312" w:eastAsia="仿宋_GB2312" w:cs="仿宋_GB2312"/>
          <w:sz w:val="32"/>
          <w:szCs w:val="32"/>
          <w:lang w:val="en-US" w:eastAsia="zh-CN"/>
        </w:rPr>
        <w:t>万元，占基本支出的</w:t>
      </w:r>
      <w:r>
        <w:rPr>
          <w:rFonts w:hint="eastAsia" w:ascii="仿宋_GB2312" w:hAnsi="仿宋_GB2312" w:eastAsia="仿宋_GB2312" w:cs="仿宋_GB2312"/>
          <w:sz w:val="32"/>
          <w:szCs w:val="32"/>
          <w:lang w:val="en-US" w:eastAsia="zh-CN"/>
        </w:rPr>
        <w:t>84.86</w:t>
      </w:r>
      <w:r>
        <w:rPr>
          <w:rFonts w:hint="default" w:ascii="仿宋_GB2312" w:hAnsi="仿宋_GB2312" w:eastAsia="仿宋_GB2312" w:cs="仿宋_GB2312"/>
          <w:sz w:val="32"/>
          <w:szCs w:val="32"/>
          <w:lang w:val="en-US" w:eastAsia="zh-CN"/>
        </w:rPr>
        <w:t>%；公用经费</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万元，占基本支出的</w:t>
      </w:r>
      <w:r>
        <w:rPr>
          <w:rFonts w:hint="eastAsia" w:ascii="仿宋_GB2312" w:hAnsi="仿宋_GB2312" w:eastAsia="仿宋_GB2312" w:cs="仿宋_GB2312"/>
          <w:sz w:val="32"/>
          <w:szCs w:val="32"/>
          <w:lang w:val="en-US" w:eastAsia="zh-CN"/>
        </w:rPr>
        <w:t>15.14</w:t>
      </w:r>
      <w:r>
        <w:rPr>
          <w:rFonts w:hint="default" w:ascii="仿宋_GB2312" w:hAnsi="仿宋_GB2312" w:eastAsia="仿宋_GB2312" w:cs="仿宋_GB2312"/>
          <w:sz w:val="32"/>
          <w:szCs w:val="32"/>
          <w:lang w:val="en-US" w:eastAsia="zh-CN"/>
        </w:rPr>
        <w:t>%。</w:t>
      </w:r>
    </w:p>
    <w:p w14:paraId="5F430453">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14:paraId="27F6DA66">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2024年度财政拨款项目支出143.38万元。</w:t>
      </w:r>
    </w:p>
    <w:p w14:paraId="37C90AFD">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5B56B152">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2024年度无政府性基金预算支出。</w:t>
      </w:r>
    </w:p>
    <w:p w14:paraId="00853557">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672E07C2">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b w:val="0"/>
          <w:bCs/>
          <w:sz w:val="32"/>
          <w:szCs w:val="32"/>
          <w:lang w:val="en-US" w:eastAsia="zh-CN"/>
        </w:rPr>
        <w:t>2024年度无政府性基金预算支出。</w:t>
      </w:r>
    </w:p>
    <w:p w14:paraId="292B86EE">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7EFCBD9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b w:val="0"/>
          <w:bCs/>
          <w:sz w:val="32"/>
          <w:szCs w:val="32"/>
          <w:lang w:val="en-US" w:eastAsia="zh-CN"/>
        </w:rPr>
        <w:t>2024年度无社会保险基金预算支出。</w:t>
      </w:r>
    </w:p>
    <w:p w14:paraId="757E1E1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0DB4FD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单位整体绩效目标总额为277.14万元，全年预算数为277.14万元，执行数为277.14万元，完成预算的100%。整体绩效目标完成情况：一是</w:t>
      </w:r>
      <w:r>
        <w:rPr>
          <w:rFonts w:hint="default" w:ascii="Times New Roman" w:hAnsi="Times New Roman" w:eastAsia="仿宋_GB2312" w:cs="Times New Roman"/>
          <w:color w:val="000000"/>
          <w:sz w:val="32"/>
          <w:szCs w:val="32"/>
          <w:lang w:val="en-US" w:eastAsia="zh-CN"/>
        </w:rPr>
        <w:t>做好参保征缴。2024年综合参保率为109.67%</w:t>
      </w:r>
      <w:r>
        <w:rPr>
          <w:rFonts w:hint="eastAsia" w:ascii="Times New Roman" w:hAnsi="Times New Roman" w:eastAsia="仿宋_GB2312" w:cs="Times New Roman"/>
          <w:color w:val="000000"/>
          <w:sz w:val="32"/>
          <w:szCs w:val="32"/>
          <w:lang w:val="en-US" w:eastAsia="zh-CN"/>
        </w:rPr>
        <w:t>，</w:t>
      </w:r>
      <w:bookmarkStart w:id="0" w:name="_GoBack"/>
      <w:bookmarkEnd w:id="0"/>
      <w:r>
        <w:rPr>
          <w:rFonts w:hint="eastAsia" w:ascii="Times New Roman" w:hAnsi="Times New Roman" w:eastAsia="仿宋_GB2312" w:cs="Times New Roman"/>
          <w:color w:val="000000"/>
          <w:sz w:val="32"/>
          <w:szCs w:val="32"/>
          <w:lang w:val="en-US" w:eastAsia="zh-CN"/>
        </w:rPr>
        <w:t>二是做实乡村振兴，特殊人群参保率100；2024年集中缴费期内共资助2466人参加城乡居民医疗保险，资助金额66.68万元。三是困难人员、稳定脱贫人口大病保险共结算大病保险158人次，结算金额39.45万元（含动态新增的困难人员大病保险追补17人次，追补金额5.19万元）。四是市级医疗救助民生实事任务进度完成138.66%。五是落实结对帮扶政策，2024年定期入户走访河市镇大湾村及营田镇八港村，开展结对帮扶。六是</w:t>
      </w:r>
      <w:r>
        <w:rPr>
          <w:rFonts w:hint="eastAsia" w:ascii="仿宋_GB2312" w:hAnsi="仿宋_GB2312" w:eastAsia="仿宋_GB2312" w:cs="仿宋_GB2312"/>
          <w:b w:val="0"/>
          <w:bCs w:val="0"/>
          <w:sz w:val="32"/>
          <w:szCs w:val="32"/>
          <w:highlight w:val="none"/>
          <w:lang w:val="en-US" w:eastAsia="zh-CN"/>
        </w:rPr>
        <w:t>实行特殊门诊申报“容缺”受理制度，建立综合柜员制，打造“综合窗口”，完善多部门协同机制，共同打造“跨省通办”“一网通办”“高效办成一件事”等并联办件机制，提升经办服务，推进异地联网直接结算、医保信息化改革，已实现全国异地就医联网直接结算；开展“高效办成一件事”，全面开展“新生儿出生一件事”“职工退休一件事”“医疗救助对象资助参保免审即享”等8项重点服务事项，优化政务服务。七是</w:t>
      </w:r>
      <w:r>
        <w:rPr>
          <w:rFonts w:hint="eastAsia" w:ascii="仿宋_GB2312" w:hAnsi="仿宋_GB2312" w:eastAsia="仿宋_GB2312" w:cs="仿宋_GB2312"/>
          <w:b w:val="0"/>
          <w:bCs w:val="0"/>
          <w:sz w:val="32"/>
          <w:szCs w:val="32"/>
          <w:lang w:val="en-US" w:eastAsia="zh-CN"/>
        </w:rPr>
        <w:t>对市局下发的飞行检查线索问题，经调查核实确认后，严格按照行政处罚程序进行立案查处，责令退回医保基金132754.9元，并对造成医保基金损失的行为处以行政罚款132754.9元；组织专门力量进行药品耗材问题线索专项核查，追回医保基金57032.04元；开展职工医保普通门诊统筹医保基金专项检查，通过组织自查、现场检查、数据分析等方式，查实存在违规930人次，追回医保基金6806.56元，并暂停三家定点零售药店职工门诊统筹业务。</w:t>
      </w:r>
    </w:p>
    <w:p w14:paraId="5D97795C">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183615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预算编制水平待进一步提高</w:t>
      </w:r>
      <w:r>
        <w:rPr>
          <w:rFonts w:hint="eastAsia" w:ascii="Times New Roman" w:hAnsi="Times New Roman" w:eastAsia="仿宋_GB2312" w:cs="Times New Roman"/>
          <w:sz w:val="32"/>
          <w:szCs w:val="32"/>
          <w:lang w:eastAsia="zh-CN"/>
        </w:rPr>
        <w:t>，执行效率有待进一步提升。</w:t>
      </w:r>
    </w:p>
    <w:p w14:paraId="04523694">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7822316D">
      <w:pPr>
        <w:keepNext w:val="0"/>
        <w:keepLines w:val="0"/>
        <w:pageBreakBefore w:val="0"/>
        <w:widowControl/>
        <w:kinsoku/>
        <w:wordWrap/>
        <w:overflowPunct/>
        <w:topLinePunct w:val="0"/>
        <w:autoSpaceDE/>
        <w:autoSpaceDN/>
        <w:bidi w:val="0"/>
        <w:adjustRightInd/>
        <w:snapToGrid/>
        <w:spacing w:line="640" w:lineRule="exact"/>
        <w:ind w:firstLine="420" w:firstLineChars="200"/>
        <w:jc w:val="both"/>
        <w:textAlignment w:val="auto"/>
        <w:rPr>
          <w:rFonts w:hint="eastAsia"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1.优化预算管理流程。</w:t>
      </w:r>
    </w:p>
    <w:p w14:paraId="71E1EE0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2.规范财务管理行为。</w:t>
      </w:r>
    </w:p>
    <w:p w14:paraId="1307BB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3.健全监管体系。</w:t>
      </w:r>
    </w:p>
    <w:p w14:paraId="4A1DD2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4.加大绩效评价结果运用力度，积极推进绩效评价结果在项目申报、资金安排方面的运用，提升资金使用效益。</w:t>
      </w:r>
    </w:p>
    <w:p w14:paraId="63899E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CC25D2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6C2C5A34">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eastAsia" w:ascii="仿宋_GB2312" w:hAnsi="仿宋_GB2312" w:eastAsia="仿宋_GB2312" w:cs="仿宋_GB2312"/>
          <w:b w:val="0"/>
          <w:bCs w:val="0"/>
          <w:sz w:val="32"/>
          <w:szCs w:val="32"/>
          <w:lang w:val="en-US" w:eastAsia="zh-CN"/>
        </w:rPr>
        <w:t>（二）部门整体支出绩效自评报告按照财政要求在规定时间内在政府门户网站上进行公开，接收社会监督。</w:t>
      </w:r>
    </w:p>
    <w:p w14:paraId="51F3AAD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0C7E4A4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357382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63E33B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78B4D0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0BE8E2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EB3F7"/>
    <w:multiLevelType w:val="singleLevel"/>
    <w:tmpl w:val="F78EB3F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8D20425"/>
    <w:rsid w:val="19B105C1"/>
    <w:rsid w:val="1BDE7928"/>
    <w:rsid w:val="1E0569BD"/>
    <w:rsid w:val="29537CE0"/>
    <w:rsid w:val="2C0E02E7"/>
    <w:rsid w:val="3117323C"/>
    <w:rsid w:val="36307568"/>
    <w:rsid w:val="3EF21442"/>
    <w:rsid w:val="54866DF9"/>
    <w:rsid w:val="5FD80F06"/>
    <w:rsid w:val="61CA2F06"/>
    <w:rsid w:val="658E6328"/>
    <w:rsid w:val="66C37699"/>
    <w:rsid w:val="6D9C2E46"/>
    <w:rsid w:val="6E7F7402"/>
    <w:rsid w:val="7D516DF8"/>
    <w:rsid w:val="7E3D57C5"/>
    <w:rsid w:val="7EBC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5">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1511</Words>
  <Characters>1661</Characters>
  <Lines>0</Lines>
  <Paragraphs>0</Paragraphs>
  <TotalTime>0</TotalTime>
  <ScaleCrop>false</ScaleCrop>
  <LinksUpToDate>false</LinksUpToDate>
  <CharactersWithSpaces>1673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O_ozZ﹉</cp:lastModifiedBy>
  <dcterms:modified xsi:type="dcterms:W3CDTF">2025-08-27T00:50:47Z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C758BC6BBF1444D0A1E299151111563A</vt:lpwstr>
  </property>
  <property fmtid="{D5CDD505-2E9C-101B-9397-08002B2CF9AE}" pid="4" name="KSOTemplateDocerSaveRecord">
    <vt:lpwstr>eyJoZGlkIjoiNzhiNmUyOGQwOWFlMDNjYTUzYzU2ZThlZTRkZTZlZDEiLCJ1c2VySWQiOiI0MTYwNTE0NzQifQ==</vt:lpwstr>
  </property>
</Properties>
</file>