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776B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3F2F824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2B051D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屈原管理区发展和改革局</w:t>
      </w:r>
    </w:p>
    <w:p w14:paraId="2ED81C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部门整体支出绩效自评报告</w:t>
      </w:r>
    </w:p>
    <w:p w14:paraId="4D3DABA9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159CF95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2A5835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55D30F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CFFCC56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C3DAD3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2930E5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2CD66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D127CF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D4009C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3A9AE4F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A8FB3C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2CF2C5A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F25B0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BC3D7E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322F120A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 w14:paraId="3C80996A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3E00D3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区发改局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161C1C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36BD0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3CC3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 w14:paraId="4483199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部门职能：负责拟订并组织实施全区国民经济和社会发展战略、中长期规划和年度计划，统筹协调相关总体规划、区域规划、主体功能区规划与专项规划；以工代赈规划和计划；协调推进经济发展环境的优化；研究制定推进社会信用体系建设的规划、政策措施；指导和协调全区统计业务工作；编制和执行全区价格改革规划，负责价格成本调查和监审。</w:t>
      </w:r>
    </w:p>
    <w:p w14:paraId="75F372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2、机构情况：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区发展和改革局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为正科级全额拨款行政单位，内设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区重点建设项目事务中心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区经济信息统计中心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2个全额拨款公益类事业单位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区重点建设项目事务中心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副科级公益类事业单位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区经济信息统计中心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正股级公益类事业单位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417EEC2">
      <w:pPr>
        <w:pStyle w:val="2"/>
        <w:numPr>
          <w:ilvl w:val="0"/>
          <w:numId w:val="0"/>
        </w:numPr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3、人员情况：2024年核定编制14人，其中行政编制5人，事业编制9人。年末实有在职人数16人,退休人员9人。</w:t>
      </w:r>
    </w:p>
    <w:p w14:paraId="275742A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5C631E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4CA3D51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年度基本支出总额为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170.21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万元，其中工资福利支出156.39万元、商品服务支出10.73万元、对个人和家庭的补助3.09万元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2331793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 w14:paraId="3839D01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度项目支出总额为387.54万元，其中发改专项经费支出38万元，第五次全国经济普查工作经费支出27万元，统计专项经费支出104.3万元，国防动员工作经费支出9.93万元，人防办办公经费支出19.66万元，工作经费支出27万，项目申报编制费124万元，2023年争项争资奖励资金6万元，自来水价格成本监审费3.5万元，粮食监管经费6.89万元，“两重两新”政策宴会工作经费5万元，2022-2023年“四上”企业入库奖励资金16万元，2024年上半年全区主干道路沿线环境卫生整治费用0.25万元。</w:t>
      </w:r>
    </w:p>
    <w:p w14:paraId="481DDB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5D97860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本单位2024年无政府性基金预算支出。</w:t>
      </w:r>
    </w:p>
    <w:p w14:paraId="42EA60B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 w14:paraId="2E28DA4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本单位2024年无国有资本经营预算支出。</w:t>
      </w:r>
    </w:p>
    <w:p w14:paraId="0DAA8A3F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14B42CA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本单位2024年无社会保险基金预算支出。</w:t>
      </w:r>
    </w:p>
    <w:p w14:paraId="100E9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497DD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根据预算绩效管理相关要求，我局以履行部门核心职责为导向，以预算资金管理为主线，对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年度纳入一般公共预算、政府性基金预算、国有资本经营预算和社会保险基金预算（简称“四本预算”）的支出绩效目标完成情况进行了全面梳理与总结。现将有关情况报告如下：</w:t>
      </w:r>
    </w:p>
    <w:p w14:paraId="73A21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 部门职责与预算保障基本情况</w:t>
      </w:r>
    </w:p>
    <w:p w14:paraId="2565B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局作为全区经济社会发展的综合管理与协调部门，主要承担拟订并组织实施国民经济和社会发展战略、中长期规划和年度计划；监测分析宏观经济运行，提出宏观调控政策建议；统筹协调经济体制改革；负责投资综合管理，规划重大建设项目和生产力布局；推进产业结构战略性调整和升级；组织拟订区域协调发展、循环经济发展战略及规划；负责社会事业与国民经济发展的衔接平衡等职责。</w:t>
      </w:r>
    </w:p>
    <w:p w14:paraId="1C707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我局预算安排紧密围绕上述职责及国家、省、市、区（县）各级行业发展规划重点，旨在保障机关高效运转，推动重大规划编制、重点项目谋划建设、经济形势监测分析、体制改革创新、能源资源协调、价格管理等核心业务的有效开展，全力服务全区高质量发展大局。</w:t>
      </w:r>
    </w:p>
    <w:p w14:paraId="66673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 “四本预算”支出绩效目标完成情况</w:t>
      </w:r>
    </w:p>
    <w:p w14:paraId="280B2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(一) 运行成本与管理效率</w:t>
      </w:r>
    </w:p>
    <w:p w14:paraId="4306B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E87B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成本控制：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年度，我局严格落实过“紧日子”要求，厉行节约，严控一般性支出，“三公”经费及行政运行成本均有效控制在预算额度内，运行成本得到合理降低。</w:t>
      </w:r>
    </w:p>
    <w:p w14:paraId="74F3E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预算执行效率： 全年预算执行进度良好，各季度执行率均达到或超过时序进度要求，年末决算数与预算数基本吻合，财政资金拨付及时，保障了各项业务的顺利开展。</w:t>
      </w:r>
    </w:p>
    <w:p w14:paraId="4CE6F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管理效能提升： 通过完善内部财务管理制度、强化预算约束、推进政府采购电子化、加强国有资产全生命周期管理等措施，预算编制科学性、资金使用规范性、资产配置合理性显著提升，管理效率进一步增强。国有资产账实相符、保管妥善、处置规范，利用率保持在合理区间。</w:t>
      </w:r>
    </w:p>
    <w:p w14:paraId="527AE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(二) 履职效能与产出完成情况</w:t>
      </w:r>
    </w:p>
    <w:p w14:paraId="5F75B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围绕部门核心职能，预算资金保障取得了以下主要产出：</w:t>
      </w:r>
    </w:p>
    <w:p w14:paraId="11947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经济运行情况：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年全区实现地区生产总值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111.72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6.6%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；社会消费品零售总额增长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%；城镇居民人均可支配收入增长4.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%，农村居民人均可支配收入预计增长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%。农林牧渔业总产值增长3.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%。规上建筑业总产值同比增长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%。</w:t>
      </w:r>
    </w:p>
    <w:p w14:paraId="3D40E848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项目审批情况：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严格落实工程建设项目可行性研究报告和企业投资备案等事项，在规定时限内，于在线审批平台受理办结，并严把项目审批关，避免造成政府投资项目隐性负债。截至目前，在线审批平台办结企业备案项目32个，总投资129965.23万元；立项审批141个，总投资306126.17万元。 </w:t>
      </w:r>
    </w:p>
    <w:p w14:paraId="4EBDFCD6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项目建设情况：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牵头出台了《屈原管理区2024年“项目建设年”行动方案》，采取一月一调度形式，对项目进行强力推进。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确定第一批重点建设项目38个，已开工在建项目29个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完成投资约7.02亿元，6个市级重点项目完成投资5.32亿元，占年度总计划的115%。</w:t>
      </w:r>
    </w:p>
    <w:p w14:paraId="46948BD3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能源建设工作情况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聚焦“4类13项”突出问题进行风险隐患清理，组织12家成员单位对标对表开展风险排查，收集问题2个，并督促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整改到位。</w:t>
      </w:r>
    </w:p>
    <w:p w14:paraId="73034FC1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价格管理与监测：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充分发挥部门职能作用，着力营造和谐的价费环境。价格认证。完成了1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0余起财务被盗、财务受损等案件的价格认证工作，涉案金额48余万元。</w:t>
      </w:r>
    </w:p>
    <w:p w14:paraId="54699A8E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社会信用体系建设情况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狠抓社会公共信用信息数据报送工作，确保我区“双公示”信息“全合规”、迟报漏报瞒报“三清零”。全年各类信息归集2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800余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条，探索开展“信易+基层治理”惠民便民示范场景建设新模式，为我区基层自治赋能增效。</w:t>
      </w:r>
    </w:p>
    <w:p w14:paraId="0E04222F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国防动员工作情况：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我区国动宣传教育积极做到进社区、进学校，认真开展“5.12”防灾减灾宣传日活动，发放宣传册1000余本。积极申报国动疏散地域建设项目，着眼抓好未战先备，提高国动意识，提升防护能力。人防审批项目12个，收取易地建设费1.63万元。</w:t>
      </w:r>
    </w:p>
    <w:p w14:paraId="2552C430">
      <w:pPr>
        <w:keepNext w:val="0"/>
        <w:keepLines w:val="0"/>
        <w:pageBreakBefore w:val="0"/>
        <w:widowControl/>
        <w:numPr>
          <w:ilvl w:val="0"/>
          <w:numId w:val="4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取得效益与社会效应</w:t>
      </w:r>
    </w:p>
    <w:p w14:paraId="2949F977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通过预算资金的有效投入和业务的扎实开展，取得了显著的综合效益：</w:t>
      </w:r>
    </w:p>
    <w:p w14:paraId="48D36C74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经济效益：通过精准有效投资和项目带动，促进了区域经济增长；优化营商环境举措激发了市场活力；争取上级资金直接增加了本地投资规模。</w:t>
      </w:r>
    </w:p>
    <w:p w14:paraId="291B4A47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社会效益： 重大项目的实施改善了基础设施条件（如交通、水利等），提升了公共服务水平（如教育、医疗设施建设）；价格监管维护了市场秩序和群众切身利益；发展规划和产业政策引导促进了就业机会增加和居民收入提升。</w:t>
      </w:r>
    </w:p>
    <w:p w14:paraId="3B52BE45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生态效益： 通过节能审查、循环经济项目推广、新能源发展等工作，促进了资源节约和环境保护，助力了“双碳”目标实现。</w:t>
      </w:r>
    </w:p>
    <w:p w14:paraId="617AD906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可持续发展能力：中长期规划的科学编制和实施为区域长远发展指明了方向；重大项目库的建设和储备为持续投资增长奠定了基础；体制机制改革优化了经济发展环境，增强了内生发展动力。</w:t>
      </w:r>
    </w:p>
    <w:p w14:paraId="6DDE0C61">
      <w:pPr>
        <w:keepNext w:val="0"/>
        <w:keepLines w:val="0"/>
        <w:pageBreakBefore w:val="0"/>
        <w:widowControl/>
        <w:numPr>
          <w:ilvl w:val="0"/>
          <w:numId w:val="4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服务对象满意度</w:t>
      </w:r>
    </w:p>
    <w:p w14:paraId="7386BFD1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走访座谈等形式了解，服务对象（包括项目单位、企业、相关政府部门、社会公众等）对我局在项目审批（备案）效率、政策咨询解答、业务指导水平、工作人员服务态度等方面的满意度较高，综合满意度达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%以上。</w:t>
      </w:r>
    </w:p>
    <w:p w14:paraId="721A753A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总体评价</w:t>
      </w:r>
    </w:p>
    <w:p w14:paraId="09F30F80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综上所述，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我局部门整体预算支出绩效良好。运行成本有效控制，管理效率不断提升，核心职责履行到位，各项主要产出目标顺利完成，在促进经济发展、社会进步、生态改善等方面取得了显著效益，服务对象满意度高，有效支撑了区域经济社会的高质量发展和可持续发展能力的增强。下一步，我局将针对存在的问题，持续改进预算和绩效管理工作，进一步提升财政资金使用效益和部门整体履职效能。</w:t>
      </w:r>
    </w:p>
    <w:p w14:paraId="05D39F98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3BF40416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绩效指标精细化程度有待提升：部分项目绩效指标设定不够精准量化，难以全面客观反映资金使用效益。</w:t>
      </w:r>
    </w:p>
    <w:p w14:paraId="6C8FED3F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部分项目资金执行进度前松后紧：受项目前期工作周期、上级资金下达时间等因素影响，个别项目资金支付前期偏慢。</w:t>
      </w:r>
    </w:p>
    <w:p w14:paraId="21358DFD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绩效结果应用深度有待加强：绩效评价结果与下年度预算安排、政策调整的挂钩机制需进一步强化。</w:t>
      </w:r>
    </w:p>
    <w:p w14:paraId="0EEAC582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 w14:paraId="7301B2DD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加强预算执行监控：建立健全预算执行动态监控机制，特别是加强对项目前期工作的督导，加快资金支付进度，提高资金使用效率。</w:t>
      </w:r>
    </w:p>
    <w:p w14:paraId="2B5A741A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强化评价结果应用：将绩效评价结果作为改进管理、安排预算和完善政策的重要依据，建立评价结果反馈与整改机制，硬化责任约束。</w:t>
      </w:r>
    </w:p>
    <w:p w14:paraId="3F7EB5EB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持续提升履职能力：围绕中心工作，继续优化资源配置，保障核心职能履行，力争在规划引领、项目支撑、改革攻坚等方面取得更大成效，更好服务区域经济社会发展全局。</w:t>
      </w:r>
    </w:p>
    <w:p w14:paraId="2569A332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部门整体支出绩效自评结果拟应用和公开情况</w:t>
      </w:r>
    </w:p>
    <w:p w14:paraId="3895D3B4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1、我单位将逐步建立绩效评价与部门预算相结合的结果应用机制，实现绩效评价结果在部门预算编制和执行中的应用，促进财政资金的合理分配与使用。</w:t>
      </w:r>
    </w:p>
    <w:p w14:paraId="5F366DCA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8" w:space="31"/>
        </w:pBdr>
        <w:kinsoku/>
        <w:wordWrap/>
        <w:overflowPunct/>
        <w:topLinePunct w:val="0"/>
        <w:autoSpaceDE w:val="0"/>
        <w:autoSpaceDN/>
        <w:bidi w:val="0"/>
        <w:adjustRightInd w:val="0"/>
        <w:snapToGrid/>
        <w:spacing w:after="0" w:line="58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2、我单位按规定在政府门户网站公开绩效自评的相关信息，数据真实、完整、准确。</w:t>
      </w:r>
    </w:p>
    <w:p w14:paraId="75E2F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029B73CE">
      <w:pPr>
        <w:pStyle w:val="2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无其他需要说明的情况。</w:t>
      </w:r>
    </w:p>
    <w:p w14:paraId="457BB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AB6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报告需要以下附件：</w:t>
      </w:r>
    </w:p>
    <w:p w14:paraId="73E16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部门整体支出绩效评价基础数据表</w:t>
      </w:r>
    </w:p>
    <w:p w14:paraId="15583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部门整体支出绩效自评表</w:t>
      </w:r>
    </w:p>
    <w:p w14:paraId="735F5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项目支出绩效自评表（一个一级项目支出一张表）</w:t>
      </w:r>
    </w:p>
    <w:p w14:paraId="38468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4E8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00426"/>
    <w:multiLevelType w:val="singleLevel"/>
    <w:tmpl w:val="869004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9BACA5"/>
    <w:multiLevelType w:val="singleLevel"/>
    <w:tmpl w:val="DF9BAC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41CFAC4"/>
    <w:multiLevelType w:val="singleLevel"/>
    <w:tmpl w:val="441CFAC4"/>
    <w:lvl w:ilvl="0" w:tentative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3">
    <w:nsid w:val="67A7BDC0"/>
    <w:multiLevelType w:val="singleLevel"/>
    <w:tmpl w:val="67A7BD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170812E0"/>
    <w:rsid w:val="077C5CB6"/>
    <w:rsid w:val="0925299F"/>
    <w:rsid w:val="1272218F"/>
    <w:rsid w:val="16F92E7F"/>
    <w:rsid w:val="170812E0"/>
    <w:rsid w:val="198D7D38"/>
    <w:rsid w:val="19B105C1"/>
    <w:rsid w:val="1D8A2A83"/>
    <w:rsid w:val="20095C2C"/>
    <w:rsid w:val="254E083A"/>
    <w:rsid w:val="29537CE0"/>
    <w:rsid w:val="2A3A75DF"/>
    <w:rsid w:val="3117323C"/>
    <w:rsid w:val="3CB90837"/>
    <w:rsid w:val="3D167A38"/>
    <w:rsid w:val="3EF21442"/>
    <w:rsid w:val="40CD2B03"/>
    <w:rsid w:val="4ECE0172"/>
    <w:rsid w:val="60F80BA0"/>
    <w:rsid w:val="64DB6CED"/>
    <w:rsid w:val="76004806"/>
    <w:rsid w:val="7A6F1F5A"/>
    <w:rsid w:val="7D5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3453</Words>
  <Characters>3643</Characters>
  <Lines>0</Lines>
  <Paragraphs>0</Paragraphs>
  <TotalTime>10</TotalTime>
  <ScaleCrop>false</ScaleCrop>
  <LinksUpToDate>false</LinksUpToDate>
  <CharactersWithSpaces>3655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sunshine</cp:lastModifiedBy>
  <dcterms:modified xsi:type="dcterms:W3CDTF">2025-09-02T08:36:17Z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C758BC6BBF1444D0A1E299151111563A</vt:lpwstr>
  </property>
  <property fmtid="{D5CDD505-2E9C-101B-9397-08002B2CF9AE}" pid="4" name="KSOTemplateDocerSaveRecord">
    <vt:lpwstr>eyJoZGlkIjoiNzcyNDYwMDlhODM5MzUxNWJlNDUxMTEyOTIwMGFkZjIiLCJ1c2VySWQiOiI3NTU3MjA0NDQifQ==</vt:lpwstr>
  </property>
</Properties>
</file>