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F2C3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32F44583">
      <w:pPr>
        <w:jc w:val="center"/>
        <w:rPr>
          <w:rFonts w:hint="default" w:ascii="Times New Roman" w:hAnsi="Times New Roman" w:eastAsia="方正小标宋_GBK" w:cs="Times New Roman"/>
          <w:sz w:val="52"/>
          <w:szCs w:val="52"/>
        </w:rPr>
      </w:pPr>
    </w:p>
    <w:p w14:paraId="31D25B8A">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屈原管理区科技和工业信息化局</w:t>
      </w:r>
    </w:p>
    <w:p w14:paraId="4F2E407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14:paraId="103ABA68">
      <w:pPr>
        <w:jc w:val="center"/>
        <w:rPr>
          <w:rFonts w:hint="default" w:ascii="Times New Roman" w:hAnsi="Times New Roman" w:eastAsia="方正小标宋_GBK" w:cs="Times New Roman"/>
          <w:b/>
          <w:sz w:val="52"/>
          <w:szCs w:val="52"/>
        </w:rPr>
      </w:pPr>
    </w:p>
    <w:p w14:paraId="7C068306">
      <w:pPr>
        <w:jc w:val="center"/>
        <w:rPr>
          <w:rFonts w:hint="default" w:ascii="Times New Roman" w:hAnsi="Times New Roman" w:eastAsia="楷体_GB2312" w:cs="Times New Roman"/>
          <w:b/>
          <w:sz w:val="32"/>
          <w:szCs w:val="32"/>
        </w:rPr>
      </w:pPr>
    </w:p>
    <w:p w14:paraId="42F342DB">
      <w:pPr>
        <w:jc w:val="center"/>
        <w:rPr>
          <w:rFonts w:hint="default" w:ascii="Times New Roman" w:hAnsi="Times New Roman" w:eastAsia="楷体_GB2312" w:cs="Times New Roman"/>
          <w:b/>
          <w:sz w:val="32"/>
          <w:szCs w:val="32"/>
        </w:rPr>
      </w:pPr>
    </w:p>
    <w:p w14:paraId="28040C22">
      <w:pPr>
        <w:jc w:val="center"/>
        <w:rPr>
          <w:rFonts w:hint="default" w:ascii="Times New Roman" w:hAnsi="Times New Roman" w:eastAsia="楷体_GB2312" w:cs="Times New Roman"/>
          <w:b/>
          <w:sz w:val="32"/>
          <w:szCs w:val="32"/>
        </w:rPr>
      </w:pPr>
    </w:p>
    <w:p w14:paraId="45DD7E31">
      <w:pPr>
        <w:jc w:val="both"/>
        <w:rPr>
          <w:rFonts w:hint="default" w:ascii="Times New Roman" w:hAnsi="Times New Roman" w:eastAsia="楷体_GB2312" w:cs="Times New Roman"/>
          <w:b/>
          <w:sz w:val="32"/>
          <w:szCs w:val="32"/>
        </w:rPr>
      </w:pPr>
    </w:p>
    <w:p w14:paraId="76BD5F02">
      <w:pPr>
        <w:jc w:val="center"/>
        <w:rPr>
          <w:rFonts w:hint="default" w:ascii="Times New Roman" w:hAnsi="Times New Roman" w:eastAsia="楷体_GB2312" w:cs="Times New Roman"/>
          <w:b/>
          <w:sz w:val="32"/>
          <w:szCs w:val="32"/>
        </w:rPr>
      </w:pPr>
    </w:p>
    <w:p w14:paraId="5A9580CA">
      <w:pPr>
        <w:jc w:val="center"/>
        <w:rPr>
          <w:rFonts w:hint="default" w:ascii="Times New Roman" w:hAnsi="Times New Roman" w:eastAsia="黑体" w:cs="Times New Roman"/>
          <w:sz w:val="32"/>
          <w:szCs w:val="32"/>
        </w:rPr>
      </w:pPr>
    </w:p>
    <w:p w14:paraId="1C347B64">
      <w:pPr>
        <w:jc w:val="center"/>
        <w:rPr>
          <w:rFonts w:hint="default" w:ascii="Times New Roman" w:hAnsi="Times New Roman" w:eastAsia="黑体" w:cs="Times New Roman"/>
          <w:sz w:val="32"/>
          <w:szCs w:val="32"/>
        </w:rPr>
      </w:pPr>
    </w:p>
    <w:p w14:paraId="23E52349">
      <w:pPr>
        <w:jc w:val="center"/>
        <w:rPr>
          <w:rFonts w:hint="default" w:ascii="Times New Roman" w:hAnsi="Times New Roman" w:eastAsia="黑体" w:cs="Times New Roman"/>
          <w:sz w:val="32"/>
          <w:szCs w:val="32"/>
        </w:rPr>
      </w:pPr>
    </w:p>
    <w:p w14:paraId="0AF09D62">
      <w:pPr>
        <w:jc w:val="center"/>
        <w:rPr>
          <w:rFonts w:hint="default" w:ascii="Times New Roman" w:hAnsi="Times New Roman" w:eastAsia="黑体" w:cs="Times New Roman"/>
          <w:sz w:val="32"/>
          <w:szCs w:val="32"/>
        </w:rPr>
      </w:pPr>
    </w:p>
    <w:p w14:paraId="72CF421F">
      <w:pPr>
        <w:jc w:val="center"/>
        <w:rPr>
          <w:rFonts w:hint="default" w:ascii="Times New Roman" w:hAnsi="Times New Roman" w:eastAsia="黑体" w:cs="Times New Roman"/>
          <w:sz w:val="32"/>
          <w:szCs w:val="32"/>
        </w:rPr>
      </w:pPr>
    </w:p>
    <w:p w14:paraId="531EDE3E">
      <w:pPr>
        <w:jc w:val="center"/>
        <w:rPr>
          <w:rFonts w:hint="default" w:ascii="Times New Roman" w:hAnsi="Times New Roman" w:eastAsia="黑体" w:cs="Times New Roman"/>
          <w:sz w:val="32"/>
          <w:szCs w:val="32"/>
        </w:rPr>
      </w:pPr>
    </w:p>
    <w:p w14:paraId="3F1DA60B">
      <w:pPr>
        <w:jc w:val="both"/>
        <w:rPr>
          <w:rFonts w:hint="default" w:ascii="Times New Roman" w:hAnsi="Times New Roman" w:eastAsia="黑体" w:cs="Times New Roman"/>
          <w:sz w:val="32"/>
          <w:szCs w:val="32"/>
        </w:rPr>
      </w:pPr>
    </w:p>
    <w:p w14:paraId="03FA2E2F">
      <w:pPr>
        <w:jc w:val="center"/>
        <w:rPr>
          <w:rFonts w:hint="default" w:ascii="Times New Roman" w:hAnsi="Times New Roman" w:eastAsia="黑体" w:cs="Times New Roman"/>
          <w:sz w:val="32"/>
          <w:szCs w:val="32"/>
        </w:rPr>
      </w:pPr>
    </w:p>
    <w:p w14:paraId="0EA7534A">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14:paraId="0196368E">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w:t>
      </w: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 xml:space="preserve">  日</w:t>
      </w:r>
    </w:p>
    <w:p w14:paraId="50C79F8D">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0B72D3B5">
      <w:pPr>
        <w:jc w:val="center"/>
        <w:rPr>
          <w:rFonts w:hint="eastAsia" w:ascii="方正小标宋简体" w:hAnsi="方正小标宋简体" w:eastAsia="方正小标宋简体" w:cs="方正小标宋简体"/>
          <w:sz w:val="44"/>
          <w:szCs w:val="44"/>
          <w:lang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屈原管理区科技和工业信息化局</w:t>
      </w:r>
    </w:p>
    <w:p w14:paraId="056BE31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部门整体支出绩效自评报告</w:t>
      </w:r>
    </w:p>
    <w:p w14:paraId="165E7091">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333C1DC">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038F4176">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24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000000"/>
          <w:kern w:val="2"/>
          <w:sz w:val="32"/>
          <w:szCs w:val="32"/>
          <w:lang w:val="en-US" w:eastAsia="zh-CN" w:bidi="ar-SA"/>
        </w:rPr>
        <w:t>1.归口管理全区科技外事工作；</w:t>
      </w:r>
    </w:p>
    <w:p w14:paraId="1D0F031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2．负责全区科技、工业和信息化、商务、粮食、金融工作；</w:t>
      </w:r>
    </w:p>
    <w:p w14:paraId="5C1D214F">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3．拟订全区国内贸易发展规划，促进城乡市场发展；</w:t>
      </w:r>
    </w:p>
    <w:p w14:paraId="4B92642C">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4．承担牵头协调整顿和规范市场经济秩序工作；</w:t>
      </w:r>
    </w:p>
    <w:p w14:paraId="2DD521C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5．会同有关部门查处和打击非法金融机构和非法金融业务活动，整顿和规范全区金融市场秩序，防范、化解、处置各类金融风险，维护金融稳定。</w:t>
      </w:r>
    </w:p>
    <w:p w14:paraId="1AA3B43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6．承办区委、区管委交办的其他事项。</w:t>
      </w:r>
    </w:p>
    <w:p w14:paraId="03644D0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机构设置</w:t>
      </w:r>
    </w:p>
    <w:p w14:paraId="4216C30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区科技和工业信息化局机关核定行政编制4名；核定领导职数4名，其中：局长1名，副局长3名。</w:t>
      </w:r>
    </w:p>
    <w:p w14:paraId="31CCC08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区科技和工业信息化局下设：</w:t>
      </w:r>
    </w:p>
    <w:p w14:paraId="3C6E2DF5">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1．区市场建设服务中心。为副科级公益类事业单位，核定差额拨款事业编制12名；核定领导职数1名，其中主任1名。</w:t>
      </w:r>
    </w:p>
    <w:p w14:paraId="0251513E">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2．区工业和经济综合监督执法大队（加挂区电力执法大队的牌子）。为正股级公益类事业单位，核定全额拨款事业编制6名，其中大队长1名。</w:t>
      </w:r>
    </w:p>
    <w:p w14:paraId="1FEA493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3.区工商改制企业管理办</w:t>
      </w:r>
    </w:p>
    <w:p w14:paraId="063A26C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4D5DE7B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2024年本单位一般公共预算支出894.15万元。</w:t>
      </w:r>
    </w:p>
    <w:p w14:paraId="30EA4253">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基本支出情况</w:t>
      </w:r>
    </w:p>
    <w:p w14:paraId="6EB06BA7">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000000"/>
          <w:kern w:val="2"/>
          <w:sz w:val="32"/>
          <w:szCs w:val="32"/>
          <w:lang w:val="en-US" w:eastAsia="zh-CN" w:bidi="ar-SA"/>
        </w:rPr>
        <w:t>2024年基本支出280.91万元，其中人员经费254.14万元，对个人和家庭的补助支出0万元，公用经费26.77万元。</w:t>
      </w:r>
    </w:p>
    <w:p w14:paraId="5F90A233">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0F0D11AC">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楷体_GB2312" w:cs="Times New Roman"/>
          <w:b/>
          <w:sz w:val="32"/>
          <w:szCs w:val="32"/>
        </w:rPr>
      </w:pPr>
      <w:r>
        <w:rPr>
          <w:rFonts w:hint="eastAsia" w:ascii="Times New Roman" w:hAnsi="Times New Roman" w:eastAsia="仿宋_GB2312" w:cs="Times New Roman"/>
          <w:color w:val="000000"/>
          <w:kern w:val="2"/>
          <w:sz w:val="32"/>
          <w:szCs w:val="32"/>
          <w:lang w:val="en-US" w:eastAsia="zh-CN" w:bidi="ar-SA"/>
        </w:rPr>
        <w:t>2024年项目支出613.24万元。</w:t>
      </w:r>
    </w:p>
    <w:p w14:paraId="5690FA8A">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4F90D314">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lang w:val="en-US"/>
        </w:rPr>
      </w:pPr>
      <w:r>
        <w:rPr>
          <w:rFonts w:hint="eastAsia" w:ascii="Times New Roman" w:hAnsi="Times New Roman" w:eastAsia="仿宋_GB2312" w:cs="Times New Roman"/>
          <w:color w:val="000000"/>
          <w:kern w:val="2"/>
          <w:sz w:val="32"/>
          <w:szCs w:val="32"/>
          <w:lang w:val="en-US" w:eastAsia="zh-CN" w:bidi="ar-SA"/>
        </w:rPr>
        <w:t>2024年无政府性预算支出。</w:t>
      </w:r>
    </w:p>
    <w:p w14:paraId="3D79CDAF">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51AA8AC7">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2024年无</w:t>
      </w:r>
      <w:r>
        <w:rPr>
          <w:rFonts w:hint="default" w:ascii="Times New Roman" w:hAnsi="Times New Roman" w:eastAsia="仿宋_GB2312" w:cs="Times New Roman"/>
          <w:color w:val="000000"/>
          <w:kern w:val="2"/>
          <w:sz w:val="32"/>
          <w:szCs w:val="32"/>
          <w:lang w:val="en-US" w:eastAsia="zh-CN" w:bidi="ar-SA"/>
        </w:rPr>
        <w:t>国有资本经营预算支出</w:t>
      </w:r>
      <w:r>
        <w:rPr>
          <w:rFonts w:hint="eastAsia" w:ascii="Times New Roman" w:hAnsi="Times New Roman" w:eastAsia="仿宋_GB2312" w:cs="Times New Roman"/>
          <w:color w:val="000000"/>
          <w:kern w:val="2"/>
          <w:sz w:val="32"/>
          <w:szCs w:val="32"/>
          <w:lang w:val="en-US" w:eastAsia="zh-CN" w:bidi="ar-SA"/>
        </w:rPr>
        <w:t>。</w:t>
      </w:r>
    </w:p>
    <w:p w14:paraId="6A1A0C2A">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159EAFE4">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rPr>
      </w:pPr>
      <w:r>
        <w:rPr>
          <w:rFonts w:hint="eastAsia" w:ascii="Times New Roman" w:hAnsi="Times New Roman" w:eastAsia="仿宋_GB2312" w:cs="Times New Roman"/>
          <w:color w:val="000000"/>
          <w:kern w:val="2"/>
          <w:sz w:val="32"/>
          <w:szCs w:val="32"/>
          <w:lang w:val="en-US" w:eastAsia="zh-CN" w:bidi="ar-SA"/>
        </w:rPr>
        <w:t>2024年</w:t>
      </w:r>
      <w:r>
        <w:rPr>
          <w:rFonts w:hint="default" w:ascii="Times New Roman" w:hAnsi="Times New Roman" w:eastAsia="仿宋_GB2312" w:cs="Times New Roman"/>
          <w:color w:val="000000"/>
          <w:kern w:val="2"/>
          <w:sz w:val="32"/>
          <w:szCs w:val="32"/>
          <w:lang w:val="en-US" w:eastAsia="zh-CN" w:bidi="ar-SA"/>
        </w:rPr>
        <w:t>社会保险基金预算支出</w:t>
      </w:r>
      <w:r>
        <w:rPr>
          <w:rFonts w:hint="eastAsia" w:ascii="Times New Roman" w:hAnsi="Times New Roman" w:eastAsia="仿宋_GB2312" w:cs="Times New Roman"/>
          <w:color w:val="000000"/>
          <w:kern w:val="2"/>
          <w:sz w:val="32"/>
          <w:szCs w:val="32"/>
          <w:lang w:val="en-US" w:eastAsia="zh-CN" w:bidi="ar-SA"/>
        </w:rPr>
        <w:t>。</w:t>
      </w:r>
    </w:p>
    <w:p w14:paraId="7968EC4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7579B3E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firstLine="320" w:firstLineChars="100"/>
        <w:jc w:val="both"/>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2024年单位整体绩效目标总额 894.15万元，全年预算数为916.5万元，执行数为894.15万元，完成预算的</w:t>
      </w:r>
      <w:r>
        <w:rPr>
          <w:rFonts w:hint="eastAsia" w:ascii="仿宋_GB2312" w:hAnsi="仿宋_GB2312" w:eastAsia="仿宋_GB2312" w:cs="仿宋_GB2312"/>
          <w:sz w:val="32"/>
          <w:szCs w:val="32"/>
          <w:lang w:val="en-US" w:eastAsia="zh-CN"/>
        </w:rPr>
        <w:t>97.56</w:t>
      </w:r>
      <w:bookmarkStart w:id="0" w:name="_GoBack"/>
      <w:bookmarkEnd w:id="0"/>
      <w:r>
        <w:rPr>
          <w:rFonts w:hint="eastAsia" w:ascii="Times New Roman" w:hAnsi="Times New Roman" w:eastAsia="仿宋_GB2312" w:cs="Times New Roman"/>
          <w:color w:val="000000"/>
          <w:kern w:val="2"/>
          <w:sz w:val="32"/>
          <w:szCs w:val="32"/>
          <w:lang w:val="en-US" w:eastAsia="zh-CN" w:bidi="ar-SA"/>
        </w:rPr>
        <w:t>。整体绩效目标完成情况：完成</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s="Times New Roman"/>
          <w:color w:val="000000"/>
          <w:kern w:val="2"/>
          <w:sz w:val="32"/>
          <w:szCs w:val="32"/>
          <w:lang w:val="en-US" w:eastAsia="zh-CN" w:bidi="ar-SA"/>
        </w:rPr>
        <w:t>工业企业入规29家； 规模工业总产值83.53亿元；进出口额4594万元  ；新增就业岗位 5000个；</w:t>
      </w:r>
      <w:r>
        <w:rPr>
          <w:rFonts w:hint="default" w:ascii="Times New Roman" w:hAnsi="Times New Roman" w:eastAsia="仿宋_GB2312" w:cs="Times New Roman"/>
          <w:color w:val="000000"/>
          <w:kern w:val="2"/>
          <w:sz w:val="32"/>
          <w:szCs w:val="32"/>
          <w:lang w:val="en-US" w:eastAsia="zh-CN" w:bidi="ar-SA"/>
        </w:rPr>
        <w:t>完成争</w:t>
      </w:r>
      <w:r>
        <w:rPr>
          <w:rFonts w:hint="eastAsia" w:ascii="Times New Roman" w:hAnsi="Times New Roman" w:eastAsia="仿宋_GB2312" w:cs="Times New Roman"/>
          <w:color w:val="000000"/>
          <w:kern w:val="2"/>
          <w:sz w:val="32"/>
          <w:szCs w:val="32"/>
          <w:lang w:val="en-US" w:eastAsia="zh-CN" w:bidi="ar-SA"/>
        </w:rPr>
        <w:t>项</w:t>
      </w:r>
      <w:r>
        <w:rPr>
          <w:rFonts w:hint="default" w:ascii="Times New Roman" w:hAnsi="Times New Roman" w:eastAsia="仿宋_GB2312" w:cs="Times New Roman"/>
          <w:color w:val="000000"/>
          <w:kern w:val="2"/>
          <w:sz w:val="32"/>
          <w:szCs w:val="32"/>
          <w:lang w:val="en-US" w:eastAsia="zh-CN" w:bidi="ar-SA"/>
        </w:rPr>
        <w:t>争资1392.77</w:t>
      </w:r>
      <w:r>
        <w:rPr>
          <w:rFonts w:hint="eastAsia" w:ascii="Times New Roman" w:hAnsi="Times New Roman" w:eastAsia="仿宋_GB2312" w:cs="Times New Roman"/>
          <w:color w:val="000000"/>
          <w:kern w:val="2"/>
          <w:sz w:val="32"/>
          <w:szCs w:val="32"/>
          <w:lang w:val="en-US" w:eastAsia="zh-CN" w:bidi="ar-SA"/>
        </w:rPr>
        <w:t>万元；</w:t>
      </w:r>
      <w:r>
        <w:rPr>
          <w:rFonts w:hint="default" w:ascii="Times New Roman" w:hAnsi="Times New Roman" w:eastAsia="仿宋_GB2312" w:cs="Times New Roman"/>
          <w:color w:val="000000"/>
          <w:kern w:val="2"/>
          <w:sz w:val="32"/>
          <w:szCs w:val="32"/>
          <w:lang w:val="en-US" w:eastAsia="zh-CN" w:bidi="ar-SA"/>
        </w:rPr>
        <w:t>社会消费品零售总额</w:t>
      </w:r>
      <w:r>
        <w:rPr>
          <w:rFonts w:hint="eastAsia" w:ascii="Times New Roman" w:hAnsi="Times New Roman" w:eastAsia="仿宋_GB2312" w:cs="Times New Roman"/>
          <w:color w:val="000000"/>
          <w:kern w:val="2"/>
          <w:sz w:val="32"/>
          <w:szCs w:val="32"/>
          <w:lang w:val="en-US" w:eastAsia="zh-CN" w:bidi="ar-SA"/>
        </w:rPr>
        <w:t>17.82亿元；</w:t>
      </w:r>
      <w:r>
        <w:rPr>
          <w:rFonts w:hint="default" w:ascii="Times New Roman" w:hAnsi="Times New Roman" w:eastAsia="仿宋_GB2312" w:cs="Times New Roman"/>
          <w:color w:val="000000"/>
          <w:kern w:val="2"/>
          <w:sz w:val="32"/>
          <w:szCs w:val="32"/>
          <w:lang w:val="en-US" w:eastAsia="zh-CN" w:bidi="ar-SA"/>
        </w:rPr>
        <w:t>处非宣传和打击</w:t>
      </w: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次</w:t>
      </w:r>
      <w:r>
        <w:rPr>
          <w:rFonts w:hint="eastAsia" w:ascii="Times New Roman" w:hAnsi="Times New Roman" w:eastAsia="仿宋_GB2312" w:cs="Times New Roman"/>
          <w:color w:val="000000"/>
          <w:kern w:val="2"/>
          <w:sz w:val="32"/>
          <w:szCs w:val="32"/>
          <w:lang w:val="en-US" w:eastAsia="zh-CN" w:bidi="ar-SA"/>
        </w:rPr>
        <w:t>。取得经济效益情况：</w:t>
      </w:r>
      <w:r>
        <w:rPr>
          <w:rFonts w:hint="default" w:ascii="Times New Roman" w:hAnsi="Times New Roman" w:eastAsia="仿宋_GB2312" w:cs="Times New Roman"/>
          <w:color w:val="000000"/>
          <w:kern w:val="2"/>
          <w:sz w:val="32"/>
          <w:szCs w:val="32"/>
          <w:lang w:val="en-US" w:eastAsia="zh-CN" w:bidi="ar-SA"/>
        </w:rPr>
        <w:t>外贸业务高速增长</w:t>
      </w:r>
      <w:r>
        <w:rPr>
          <w:rFonts w:hint="eastAsia" w:ascii="Times New Roman" w:hAnsi="Times New Roman" w:eastAsia="仿宋_GB2312" w:cs="Times New Roman"/>
          <w:color w:val="000000"/>
          <w:kern w:val="2"/>
          <w:sz w:val="32"/>
          <w:szCs w:val="32"/>
          <w:lang w:val="en-US" w:eastAsia="zh-CN" w:bidi="ar-SA"/>
        </w:rPr>
        <w:t>74.2%；</w:t>
      </w:r>
      <w:r>
        <w:rPr>
          <w:rFonts w:hint="default" w:ascii="Times New Roman" w:hAnsi="Times New Roman" w:eastAsia="仿宋_GB2312" w:cs="Times New Roman"/>
          <w:color w:val="000000"/>
          <w:kern w:val="2"/>
          <w:sz w:val="32"/>
          <w:szCs w:val="32"/>
          <w:lang w:val="en-US" w:eastAsia="zh-CN" w:bidi="ar-SA"/>
        </w:rPr>
        <w:t>新增规模工业企业通过率</w:t>
      </w:r>
      <w:r>
        <w:rPr>
          <w:rFonts w:hint="eastAsia" w:ascii="Times New Roman" w:hAnsi="Times New Roman" w:eastAsia="仿宋_GB2312" w:cs="Times New Roman"/>
          <w:color w:val="000000"/>
          <w:kern w:val="2"/>
          <w:sz w:val="32"/>
          <w:szCs w:val="32"/>
          <w:lang w:val="en-US" w:eastAsia="zh-CN" w:bidi="ar-SA"/>
        </w:rPr>
        <w:t>100%；</w:t>
      </w:r>
      <w:r>
        <w:rPr>
          <w:rFonts w:hint="default" w:ascii="Times New Roman" w:hAnsi="Times New Roman" w:eastAsia="仿宋_GB2312" w:cs="Times New Roman"/>
          <w:color w:val="000000"/>
          <w:kern w:val="2"/>
          <w:sz w:val="32"/>
          <w:szCs w:val="32"/>
          <w:lang w:val="en-US" w:eastAsia="zh-CN" w:bidi="ar-SA"/>
        </w:rPr>
        <w:t>规模工业增加值增长</w:t>
      </w:r>
      <w:r>
        <w:rPr>
          <w:rFonts w:hint="eastAsia" w:ascii="Times New Roman" w:hAnsi="Times New Roman" w:eastAsia="仿宋_GB2312" w:cs="Times New Roman"/>
          <w:color w:val="000000"/>
          <w:kern w:val="2"/>
          <w:sz w:val="32"/>
          <w:szCs w:val="32"/>
          <w:lang w:val="en-US" w:eastAsia="zh-CN" w:bidi="ar-SA"/>
        </w:rPr>
        <w:t>24.5%；</w:t>
      </w:r>
      <w:r>
        <w:rPr>
          <w:rFonts w:hint="default" w:ascii="Times New Roman" w:hAnsi="Times New Roman" w:eastAsia="仿宋_GB2312" w:cs="Times New Roman"/>
          <w:color w:val="000000"/>
          <w:kern w:val="2"/>
          <w:sz w:val="32"/>
          <w:szCs w:val="32"/>
          <w:lang w:val="en-US" w:eastAsia="zh-CN" w:bidi="ar-SA"/>
        </w:rPr>
        <w:t>社会消费品零售增幅</w:t>
      </w:r>
      <w:r>
        <w:rPr>
          <w:rFonts w:hint="eastAsia" w:ascii="Times New Roman" w:hAnsi="Times New Roman" w:eastAsia="仿宋_GB2312" w:cs="Times New Roman"/>
          <w:color w:val="000000"/>
          <w:kern w:val="2"/>
          <w:sz w:val="32"/>
          <w:szCs w:val="32"/>
          <w:lang w:val="en-US" w:eastAsia="zh-CN" w:bidi="ar-SA"/>
        </w:rPr>
        <w:t>19.6%；</w:t>
      </w:r>
      <w:r>
        <w:rPr>
          <w:rFonts w:hint="default" w:ascii="Times New Roman" w:hAnsi="Times New Roman" w:eastAsia="仿宋_GB2312" w:cs="Times New Roman"/>
          <w:color w:val="000000"/>
          <w:kern w:val="2"/>
          <w:sz w:val="32"/>
          <w:szCs w:val="32"/>
          <w:lang w:val="en-US" w:eastAsia="zh-CN" w:bidi="ar-SA"/>
        </w:rPr>
        <w:t>外贸进出口额同比增长</w:t>
      </w:r>
      <w:r>
        <w:rPr>
          <w:rFonts w:hint="eastAsia" w:ascii="Times New Roman" w:hAnsi="Times New Roman" w:eastAsia="仿宋_GB2312" w:cs="Times New Roman"/>
          <w:color w:val="000000"/>
          <w:kern w:val="2"/>
          <w:sz w:val="32"/>
          <w:szCs w:val="32"/>
          <w:lang w:val="en-US" w:eastAsia="zh-CN" w:bidi="ar-SA"/>
        </w:rPr>
        <w:t>59.3%：营商环境进一步优化；</w:t>
      </w:r>
      <w:r>
        <w:rPr>
          <w:rFonts w:hint="default" w:ascii="Times New Roman" w:hAnsi="Times New Roman" w:eastAsia="仿宋_GB2312" w:cs="Times New Roman"/>
          <w:color w:val="000000"/>
          <w:kern w:val="2"/>
          <w:sz w:val="32"/>
          <w:szCs w:val="32"/>
          <w:lang w:val="en-US" w:eastAsia="zh-CN" w:bidi="ar-SA"/>
        </w:rPr>
        <w:t>在</w:t>
      </w:r>
      <w:r>
        <w:rPr>
          <w:rFonts w:hint="eastAsia" w:ascii="Times New Roman" w:hAnsi="Times New Roman" w:eastAsia="仿宋_GB2312" w:cs="Times New Roman"/>
          <w:color w:val="000000"/>
          <w:kern w:val="2"/>
          <w:sz w:val="32"/>
          <w:szCs w:val="32"/>
          <w:lang w:val="en-US" w:eastAsia="zh-CN" w:bidi="ar-SA"/>
        </w:rPr>
        <w:t>未来5-10</w:t>
      </w:r>
      <w:r>
        <w:rPr>
          <w:rFonts w:hint="default" w:ascii="Times New Roman" w:hAnsi="Times New Roman" w:eastAsia="仿宋_GB2312" w:cs="Times New Roman"/>
          <w:color w:val="000000"/>
          <w:kern w:val="2"/>
          <w:sz w:val="32"/>
          <w:szCs w:val="32"/>
          <w:lang w:val="en-US" w:eastAsia="zh-CN" w:bidi="ar-SA"/>
        </w:rPr>
        <w:t>内对经济发展的</w:t>
      </w:r>
      <w:r>
        <w:rPr>
          <w:rFonts w:hint="eastAsia" w:ascii="Times New Roman" w:hAnsi="Times New Roman" w:eastAsia="仿宋_GB2312" w:cs="Times New Roman"/>
          <w:color w:val="000000"/>
          <w:kern w:val="2"/>
          <w:sz w:val="32"/>
          <w:szCs w:val="32"/>
          <w:lang w:val="en-US" w:eastAsia="zh-CN" w:bidi="ar-SA"/>
        </w:rPr>
        <w:t>有良好</w:t>
      </w:r>
      <w:r>
        <w:rPr>
          <w:rFonts w:hint="default" w:ascii="Times New Roman" w:hAnsi="Times New Roman" w:eastAsia="仿宋_GB2312" w:cs="Times New Roman"/>
          <w:color w:val="000000"/>
          <w:kern w:val="2"/>
          <w:sz w:val="32"/>
          <w:szCs w:val="32"/>
          <w:lang w:val="en-US" w:eastAsia="zh-CN" w:bidi="ar-SA"/>
        </w:rPr>
        <w:t>影响</w:t>
      </w:r>
      <w:r>
        <w:rPr>
          <w:rFonts w:hint="eastAsia" w:ascii="Times New Roman" w:hAnsi="Times New Roman" w:eastAsia="仿宋_GB2312" w:cs="Times New Roman"/>
          <w:color w:val="000000"/>
          <w:kern w:val="2"/>
          <w:sz w:val="32"/>
          <w:szCs w:val="32"/>
          <w:lang w:val="en-US" w:eastAsia="zh-CN" w:bidi="ar-SA"/>
        </w:rPr>
        <w:t>。企</w:t>
      </w:r>
      <w:r>
        <w:rPr>
          <w:rFonts w:hint="default" w:ascii="Times New Roman" w:hAnsi="Times New Roman" w:eastAsia="仿宋_GB2312" w:cs="Times New Roman"/>
          <w:color w:val="000000"/>
          <w:kern w:val="2"/>
          <w:sz w:val="32"/>
          <w:szCs w:val="32"/>
          <w:lang w:val="en-US" w:eastAsia="zh-CN" w:bidi="ar-SA"/>
        </w:rPr>
        <w:t>业对营商服务满意度</w:t>
      </w:r>
      <w:r>
        <w:rPr>
          <w:rFonts w:hint="eastAsia" w:ascii="Times New Roman" w:hAnsi="Times New Roman" w:eastAsia="仿宋_GB2312" w:cs="Times New Roman"/>
          <w:color w:val="000000"/>
          <w:kern w:val="2"/>
          <w:sz w:val="32"/>
          <w:szCs w:val="32"/>
          <w:lang w:val="en-US" w:eastAsia="zh-CN" w:bidi="ar-SA"/>
        </w:rPr>
        <w:t>达到95%。</w:t>
      </w:r>
    </w:p>
    <w:p w14:paraId="666D72BE">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6A0CF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资金使用效益不高，预算的约束力不够，预算编制工作有待进一步细化。</w:t>
      </w:r>
    </w:p>
    <w:p w14:paraId="6E19E07C">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7CAE0AF4">
      <w:pPr>
        <w:ind w:firstLine="420" w:firstLineChars="200"/>
        <w:rPr>
          <w:rFonts w:hint="eastAsia" w:ascii="Times New Roman" w:hAnsi="Times New Roman" w:eastAsia="仿宋_GB2312" w:cs="Times New Roman"/>
          <w:color w:val="000000"/>
          <w:kern w:val="2"/>
          <w:sz w:val="32"/>
          <w:szCs w:val="32"/>
          <w:lang w:val="en-US" w:eastAsia="zh-CN" w:bidi="ar-SA"/>
        </w:rPr>
      </w:pPr>
      <w:r>
        <w:rPr>
          <w:rFonts w:hint="eastAsia"/>
          <w:lang w:val="en-US" w:eastAsia="zh-CN"/>
        </w:rPr>
        <w:t xml:space="preserve"> </w:t>
      </w:r>
      <w:r>
        <w:rPr>
          <w:rFonts w:hint="eastAsia" w:ascii="Times New Roman" w:hAnsi="Times New Roman" w:eastAsia="仿宋_GB2312" w:cs="Times New Roman"/>
          <w:color w:val="000000"/>
          <w:kern w:val="2"/>
          <w:sz w:val="32"/>
          <w:szCs w:val="32"/>
          <w:lang w:val="en-US" w:eastAsia="zh-CN" w:bidi="ar-SA"/>
        </w:rPr>
        <w:t>1.加强资金的管理使用，提高资金的使用效率，发挥好资金促进民生的作用。</w:t>
      </w:r>
    </w:p>
    <w:p w14:paraId="3AFA3821">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2.加强对资金管理使用的监督检查，确保及时发现资金使用中存在的问题，保证资金的安全。</w:t>
      </w:r>
    </w:p>
    <w:p w14:paraId="62959C8D">
      <w:pPr>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3.加强财务风险防控。</w:t>
      </w:r>
    </w:p>
    <w:p w14:paraId="7645B83C">
      <w:pPr>
        <w:pStyle w:val="2"/>
        <w:numPr>
          <w:ilvl w:val="0"/>
          <w:numId w:val="0"/>
        </w:numPr>
        <w:ind w:firstLine="640" w:firstLineChars="200"/>
        <w:rPr>
          <w:rFonts w:hint="default"/>
        </w:rPr>
      </w:pPr>
      <w:r>
        <w:rPr>
          <w:rFonts w:hint="eastAsia" w:ascii="Times New Roman" w:hAnsi="Times New Roman" w:eastAsia="仿宋_GB2312" w:cs="Times New Roman"/>
          <w:color w:val="000000"/>
          <w:kern w:val="2"/>
          <w:sz w:val="32"/>
          <w:szCs w:val="32"/>
          <w:lang w:val="en-US" w:eastAsia="zh-CN" w:bidi="ar-SA"/>
        </w:rPr>
        <w:t>4.加大绩效评价结果运用力度，积极推进绩效评价结果在项目申报、资金安排方面的运用，提升资金使用效益。</w:t>
      </w:r>
    </w:p>
    <w:p w14:paraId="62A21D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35DD0CCD">
      <w:pPr>
        <w:pStyle w:val="2"/>
        <w:ind w:firstLine="960" w:firstLineChars="3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14:paraId="4D196BE0">
      <w:pPr>
        <w:pStyle w:val="2"/>
        <w:rPr>
          <w:rFonts w:hint="default"/>
        </w:rPr>
      </w:pPr>
      <w:r>
        <w:rPr>
          <w:rFonts w:hint="eastAsia" w:ascii="Times New Roman" w:hAnsi="Times New Roman" w:eastAsia="仿宋_GB2312" w:cs="Times New Roman"/>
          <w:color w:val="000000"/>
          <w:kern w:val="2"/>
          <w:sz w:val="32"/>
          <w:szCs w:val="32"/>
          <w:lang w:val="en-US" w:eastAsia="zh-CN" w:bidi="ar-SA"/>
        </w:rPr>
        <w:t xml:space="preserve">     （二）部门整体支出绩效自评报告按照财政要求在规定时间内在政府门户网站上进行公开，接受社会监督。</w:t>
      </w:r>
    </w:p>
    <w:p w14:paraId="067040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其他需要说明的情况</w:t>
      </w:r>
    </w:p>
    <w:p w14:paraId="06E427D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727521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67E1825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3EC2ACD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1B5562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34C254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F534"/>
    <w:multiLevelType w:val="singleLevel"/>
    <w:tmpl w:val="1F00F534"/>
    <w:lvl w:ilvl="0" w:tentative="0">
      <w:start w:val="1"/>
      <w:numFmt w:val="chineseCounting"/>
      <w:suff w:val="nothing"/>
      <w:lvlText w:val="（%1）"/>
      <w:lvlJc w:val="left"/>
      <w:rPr>
        <w:rFonts w:hint="eastAsia"/>
      </w:rPr>
    </w:lvl>
  </w:abstractNum>
  <w:abstractNum w:abstractNumId="1">
    <w:nsid w:val="599C70F3"/>
    <w:multiLevelType w:val="singleLevel"/>
    <w:tmpl w:val="599C70F3"/>
    <w:lvl w:ilvl="0" w:tentative="0">
      <w:start w:val="8"/>
      <w:numFmt w:val="chineseCounting"/>
      <w:suff w:val="nothing"/>
      <w:lvlText w:val="%1、"/>
      <w:lvlJc w:val="left"/>
      <w:rPr>
        <w:rFonts w:hint="eastAsia"/>
      </w:rPr>
    </w:lvl>
  </w:abstractNum>
  <w:abstractNum w:abstractNumId="2">
    <w:nsid w:val="5A2B92B8"/>
    <w:multiLevelType w:val="singleLevel"/>
    <w:tmpl w:val="5A2B92B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9B105C1"/>
    <w:rsid w:val="283A1098"/>
    <w:rsid w:val="28A731FA"/>
    <w:rsid w:val="29537CE0"/>
    <w:rsid w:val="3117323C"/>
    <w:rsid w:val="3EF21442"/>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1286</Words>
  <Characters>1413</Characters>
  <Lines>0</Lines>
  <Paragraphs>0</Paragraphs>
  <TotalTime>0</TotalTime>
  <ScaleCrop>false</ScaleCrop>
  <LinksUpToDate>false</LinksUpToDate>
  <CharactersWithSpaces>1430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Jeffrey Qin秦浩杰</cp:lastModifiedBy>
  <dcterms:modified xsi:type="dcterms:W3CDTF">2025-10-21T14:03:15Z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C758BC6BBF1444D0A1E299151111563A</vt:lpwstr>
  </property>
  <property fmtid="{D5CDD505-2E9C-101B-9397-08002B2CF9AE}" pid="4" name="KSOTemplateDocerSaveRecord">
    <vt:lpwstr>eyJoZGlkIjoiMDQwZjg0ZjBiYWM1M2E2OTM4NWMwNzQzM2QwNmVjYmUiLCJ1c2VySWQiOiIyNzk5MzEyNzkifQ==</vt:lpwstr>
  </property>
</Properties>
</file>