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2024年度屈原管理区公安局</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部门名称：</w:t>
      </w:r>
      <w:r>
        <w:rPr>
          <w:rFonts w:ascii="Times New Roman" w:hAnsi="Times New Roman" w:eastAsia="仿宋_GB2312"/>
          <w:sz w:val="32"/>
          <w:szCs w:val="32"/>
          <w:u w:val="single"/>
        </w:rPr>
        <w:t>（盖章）</w:t>
      </w:r>
    </w:p>
    <w:p>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w:t>年  月  日</w:t>
      </w:r>
    </w:p>
    <w:p>
      <w:pPr>
        <w:jc w:val="center"/>
        <w:rPr>
          <w:rFonts w:ascii="Times New Roman" w:hAnsi="Times New Roman" w:eastAsia="仿宋_GB2312"/>
          <w:sz w:val="32"/>
          <w:szCs w:val="32"/>
        </w:rPr>
      </w:pPr>
      <w:r>
        <w:rPr>
          <w:rFonts w:ascii="Times New Roman" w:hAnsi="Times New Roman" w:eastAsia="仿宋_GB2312"/>
          <w:sz w:val="32"/>
          <w:szCs w:val="32"/>
        </w:rPr>
        <w:t>（此页为封面）</w:t>
      </w:r>
    </w:p>
    <w:p>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2024年度屈原管理区公安局</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spacing w:line="640" w:lineRule="exact"/>
        <w:ind w:firstLine="640" w:firstLineChars="200"/>
        <w:rPr>
          <w:rFonts w:ascii="Times New Roman" w:hAnsi="Times New Roman" w:eastAsia="仿宋_GB2312"/>
          <w:sz w:val="32"/>
          <w:szCs w:val="32"/>
        </w:rPr>
      </w:pPr>
    </w:p>
    <w:p>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pPr>
        <w:pStyle w:val="2"/>
        <w:spacing w:beforeLines="50" w:line="360" w:lineRule="auto"/>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rPr>
        <w:t>（一）职能职责</w:t>
      </w:r>
    </w:p>
    <w:p>
      <w:pPr>
        <w:spacing w:line="600" w:lineRule="exact"/>
        <w:ind w:firstLine="643" w:firstLineChars="200"/>
        <w:rPr>
          <w:rFonts w:hint="eastAsia" w:ascii="Times New Roman" w:hAnsi="Times New Roman" w:eastAsia="楷体_GB2312"/>
          <w:b/>
          <w:kern w:val="0"/>
          <w:sz w:val="32"/>
          <w:szCs w:val="32"/>
          <w:lang w:val="en-US" w:eastAsia="zh-CN"/>
        </w:rPr>
      </w:pPr>
      <w:r>
        <w:rPr>
          <w:rFonts w:hint="eastAsia" w:ascii="Times New Roman" w:hAnsi="Times New Roman" w:eastAsia="楷体_GB2312"/>
          <w:b/>
          <w:kern w:val="0"/>
          <w:sz w:val="32"/>
          <w:szCs w:val="32"/>
          <w:lang w:val="en-US" w:eastAsia="zh-CN"/>
        </w:rPr>
        <w:t>略</w:t>
      </w:r>
    </w:p>
    <w:p>
      <w:pPr>
        <w:spacing w:line="600" w:lineRule="exact"/>
        <w:ind w:firstLine="643" w:firstLineChars="200"/>
        <w:rPr>
          <w:rFonts w:ascii="Times New Roman" w:hAnsi="Times New Roman" w:eastAsia="楷体_GB2312"/>
          <w:b/>
          <w:kern w:val="0"/>
          <w:sz w:val="32"/>
          <w:szCs w:val="32"/>
        </w:rPr>
      </w:pPr>
      <w:bookmarkStart w:id="0" w:name="_GoBack"/>
      <w:bookmarkEnd w:id="0"/>
      <w:r>
        <w:rPr>
          <w:rFonts w:hint="eastAsia" w:ascii="Times New Roman" w:hAnsi="Times New Roman" w:eastAsia="楷体_GB2312"/>
          <w:b/>
          <w:kern w:val="0"/>
          <w:sz w:val="32"/>
          <w:szCs w:val="32"/>
        </w:rPr>
        <w:t>（二）机构设置</w:t>
      </w:r>
    </w:p>
    <w:p>
      <w:pPr>
        <w:pStyle w:val="8"/>
        <w:widowControl/>
        <w:spacing w:line="640" w:lineRule="exact"/>
        <w:ind w:firstLine="64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略</w:t>
      </w:r>
    </w:p>
    <w:p>
      <w:pPr>
        <w:pStyle w:val="8"/>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8"/>
        <w:widowControl/>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8"/>
        <w:widowControl/>
        <w:spacing w:line="640" w:lineRule="exact"/>
        <w:ind w:firstLine="640"/>
        <w:rPr>
          <w:rFonts w:ascii="Times New Roman" w:hAnsi="Times New Roman" w:eastAsia="楷体_GB2312"/>
          <w:b/>
          <w:sz w:val="32"/>
          <w:szCs w:val="32"/>
        </w:rPr>
      </w:pPr>
      <w:r>
        <w:rPr>
          <w:rFonts w:hint="eastAsia" w:ascii="仿宋_GB2312" w:hAnsi="仿宋_GB2312" w:eastAsia="仿宋_GB2312" w:cs="仿宋_GB2312"/>
          <w:sz w:val="32"/>
          <w:szCs w:val="32"/>
        </w:rPr>
        <w:t>2024年基本支出预算数2213.46万元，实际支出决算数3359.4万元。其中：人员经费1360.67元，主要包括：基本工资、津贴补贴、奖金、机关事业单位基本养老保险缴费、职工基本医疗保险缴费、公务员医疗补助缴费、其他社会保障缴费、住房公积金等；生活补助；公用经费422.02万元，主要包括：办公费、印刷费、咨询费、水费、电费、邮电费、物业管理费、会议费、培训费、差旅费、维修（护）费、租赁费、公务接待费、被装购置费、劳务费、委托业务费、工会经费、公务用车运行维护费、其他交通费用、税金及附加费用、其他商品和服务支出。</w:t>
      </w:r>
    </w:p>
    <w:p>
      <w:pPr>
        <w:pStyle w:val="8"/>
        <w:widowControl/>
        <w:spacing w:line="640" w:lineRule="exact"/>
        <w:ind w:firstLine="643"/>
        <w:rPr>
          <w:rFonts w:ascii="Times New Roman" w:hAnsi="Times New Roman" w:eastAsia="楷体_GB2312"/>
          <w:b/>
          <w:sz w:val="32"/>
          <w:szCs w:val="32"/>
        </w:rPr>
      </w:pPr>
      <w:r>
        <w:rPr>
          <w:rFonts w:hint="eastAsia" w:ascii="Times New Roman" w:hAnsi="Times New Roman" w:eastAsia="楷体_GB2312"/>
          <w:b/>
          <w:sz w:val="32"/>
          <w:szCs w:val="32"/>
        </w:rPr>
        <w:t>（二）</w:t>
      </w:r>
      <w:r>
        <w:rPr>
          <w:rFonts w:ascii="Times New Roman" w:hAnsi="Times New Roman" w:eastAsia="楷体_GB2312"/>
          <w:b/>
          <w:sz w:val="32"/>
          <w:szCs w:val="32"/>
        </w:rPr>
        <w:t>项目支出情况</w:t>
      </w:r>
    </w:p>
    <w:p>
      <w:pPr>
        <w:pStyle w:val="8"/>
        <w:widowControl/>
        <w:spacing w:line="640" w:lineRule="exact"/>
        <w:ind w:firstLine="640"/>
        <w:rPr>
          <w:rFonts w:ascii="Times New Roman" w:hAnsi="Times New Roman" w:eastAsia="楷体_GB2312"/>
          <w:b/>
          <w:sz w:val="32"/>
          <w:szCs w:val="32"/>
        </w:rPr>
      </w:pPr>
      <w:r>
        <w:rPr>
          <w:rFonts w:hint="eastAsia" w:ascii="仿宋_GB2312" w:hAnsi="仿宋_GB2312" w:eastAsia="仿宋_GB2312" w:cs="仿宋_GB2312"/>
          <w:sz w:val="32"/>
          <w:szCs w:val="32"/>
        </w:rPr>
        <w:t>2024年项目支出预算数502万元，实际支出决算数502万元，用于公安专项、辅警专项、汨罗看守所拘留所经费等项目支出。</w:t>
      </w:r>
    </w:p>
    <w:p>
      <w:pPr>
        <w:pStyle w:val="8"/>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8"/>
        <w:widowControl/>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2024年度本单位无政府性基金安排的支出。</w:t>
      </w:r>
    </w:p>
    <w:p>
      <w:pPr>
        <w:pStyle w:val="8"/>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8"/>
        <w:widowControl/>
        <w:spacing w:line="640" w:lineRule="exact"/>
        <w:ind w:left="420" w:leftChars="2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2024年度本单位无国有资本经营预算安排的支出。</w:t>
      </w:r>
    </w:p>
    <w:p>
      <w:pPr>
        <w:pStyle w:val="8"/>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8"/>
        <w:widowControl/>
        <w:spacing w:line="6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2024年度本单位无社会保险基金预算安排的支出。</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pPr>
        <w:pStyle w:val="8"/>
        <w:widowControl/>
        <w:spacing w:line="6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年在区局党委正确领导下，按照市局和公安装财工作的总体要求，紧紧围绕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服务公安中心工作，服务实战需要，服务基层一线</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的总要求和</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保障有力、管理规范、基础扎实、服务到位</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的总目标，尽心履职，真抓实干，为我局各项公安中心工作的顺利开展，提供了有力的支持和保障，较好</w:t>
      </w:r>
      <w:r>
        <w:rPr>
          <w:rFonts w:hint="eastAsia" w:ascii="Times New Roman" w:hAnsi="Times New Roman" w:eastAsia="仿宋_GB2312"/>
          <w:color w:val="000000"/>
          <w:sz w:val="32"/>
          <w:szCs w:val="32"/>
        </w:rPr>
        <w:t>地</w:t>
      </w:r>
      <w:r>
        <w:rPr>
          <w:rFonts w:ascii="Times New Roman" w:hAnsi="Times New Roman" w:eastAsia="仿宋_GB2312"/>
          <w:color w:val="000000"/>
          <w:sz w:val="32"/>
          <w:szCs w:val="32"/>
        </w:rPr>
        <w:t>完成了年度工作任务</w:t>
      </w:r>
      <w:r>
        <w:rPr>
          <w:rFonts w:ascii="Times New Roman" w:hAnsi="Times New Roman" w:eastAsia="仿宋_GB2312"/>
          <w:sz w:val="32"/>
          <w:szCs w:val="32"/>
        </w:rPr>
        <w:t>。</w:t>
      </w:r>
    </w:p>
    <w:p>
      <w:pPr>
        <w:pStyle w:val="8"/>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widowControl/>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在预算执行过程中存在执行偏离绩效目标的情况，主要体现在预算绩效管理工作有待健全</w:t>
      </w:r>
      <w:r>
        <w:rPr>
          <w:rFonts w:hint="eastAsia" w:ascii="Times New Roman" w:hAnsi="Times New Roman" w:eastAsia="仿宋_GB2312"/>
          <w:sz w:val="32"/>
          <w:szCs w:val="32"/>
        </w:rPr>
        <w:t>，</w:t>
      </w:r>
      <w:r>
        <w:rPr>
          <w:rFonts w:ascii="Times New Roman" w:hAnsi="Times New Roman" w:eastAsia="仿宋_GB2312"/>
          <w:sz w:val="32"/>
          <w:szCs w:val="32"/>
        </w:rPr>
        <w:t>对于预算绩效管理工作重视不够，对于预算绩效管理的计划性不足，我局配套的工作机制还不成熟，相应的预算绩效管理办法还在制定中。在预算执行过程中，绩效管理的参与性不足。</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pPr>
        <w:widowControl/>
        <w:spacing w:line="640" w:lineRule="exact"/>
        <w:ind w:firstLine="640" w:firstLineChars="200"/>
      </w:pPr>
      <w:r>
        <w:rPr>
          <w:rFonts w:ascii="Times New Roman" w:hAnsi="Times New Roman" w:eastAsia="仿宋_GB2312"/>
          <w:sz w:val="32"/>
          <w:szCs w:val="32"/>
        </w:rPr>
        <w:t>一是把预算管理纳入项目管理体系，把预算编制与预算的执行工作贯穿于项目执行的全过程；二是加强与财政部门的沟通衔接，及时了解财政、财务规章制度，约束财经纪律，特别是对与当前财政经济环境不适用的事项，要及时征求财政意见，提供充分理由说服党委暂缓或停止事项；三是对业务类项目要实行深度整合，除财政据实核定</w:t>
      </w:r>
      <w:r>
        <w:rPr>
          <w:rFonts w:hint="eastAsia" w:ascii="Times New Roman" w:hAnsi="Times New Roman" w:eastAsia="仿宋_GB2312"/>
          <w:sz w:val="32"/>
          <w:szCs w:val="32"/>
        </w:rPr>
        <w:t>项</w:t>
      </w:r>
      <w:r>
        <w:rPr>
          <w:rFonts w:ascii="Times New Roman" w:hAnsi="Times New Roman" w:eastAsia="仿宋_GB2312"/>
          <w:sz w:val="32"/>
          <w:szCs w:val="32"/>
        </w:rPr>
        <w:t>外，根据大类业务设立项目，既确保资金使用，又能应对年中临时新增业务。</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九、部门整体支出绩效自评结果拟应用和公开情况</w:t>
      </w:r>
    </w:p>
    <w:p>
      <w:pPr>
        <w:widowControl/>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pPr>
        <w:widowControl/>
        <w:spacing w:line="640" w:lineRule="exact"/>
        <w:ind w:firstLine="640" w:firstLineChars="200"/>
      </w:pPr>
      <w:r>
        <w:rPr>
          <w:rFonts w:ascii="Times New Roman" w:hAnsi="Times New Roman" w:eastAsia="仿宋_GB2312"/>
          <w:sz w:val="32"/>
          <w:szCs w:val="32"/>
        </w:rPr>
        <w:t>（二）部门整体支出绩效自评报告按照财政要求在规定时间内在政府门户网站上进行公开，</w:t>
      </w:r>
      <w:r>
        <w:rPr>
          <w:rFonts w:hint="eastAsia" w:ascii="Times New Roman" w:hAnsi="Times New Roman" w:eastAsia="仿宋_GB2312"/>
          <w:sz w:val="32"/>
          <w:szCs w:val="32"/>
        </w:rPr>
        <w:t>接受社会监督</w:t>
      </w:r>
      <w:r>
        <w:rPr>
          <w:rFonts w:ascii="Times New Roman" w:hAnsi="Times New Roman" w:eastAsia="仿宋_GB2312"/>
          <w:sz w:val="32"/>
          <w:szCs w:val="32"/>
        </w:rPr>
        <w:t>。</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p>
      <w:pPr>
        <w:widowControl/>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报告需要以下附件：</w:t>
      </w:r>
    </w:p>
    <w:p>
      <w:pPr>
        <w:widowControl/>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部门整体支出绩效评价基础数据表</w:t>
      </w:r>
    </w:p>
    <w:p>
      <w:pPr>
        <w:widowControl/>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部门整体支出绩效自评表</w:t>
      </w:r>
    </w:p>
    <w:p>
      <w:pPr>
        <w:widowControl/>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项目支出绩效自评表（一个一级项目支出一张表）</w:t>
      </w:r>
    </w:p>
    <w:p>
      <w:pPr>
        <w:widowControl/>
        <w:spacing w:line="640" w:lineRule="exact"/>
        <w:ind w:firstLine="640" w:firstLineChars="200"/>
        <w:rPr>
          <w:rFonts w:ascii="Times New Roman" w:hAnsi="Times New Roman"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94D4E"/>
    <w:multiLevelType w:val="singleLevel"/>
    <w:tmpl w:val="A8994D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kwZjE5YmJiZjg5NDRiNTY3MzllNzExNDVlY2UyYWIifQ=="/>
  </w:docVars>
  <w:rsids>
    <w:rsidRoot w:val="170812E0"/>
    <w:rsid w:val="0078202E"/>
    <w:rsid w:val="00970D15"/>
    <w:rsid w:val="00B62324"/>
    <w:rsid w:val="039E11BA"/>
    <w:rsid w:val="078828AD"/>
    <w:rsid w:val="080A574D"/>
    <w:rsid w:val="0A801619"/>
    <w:rsid w:val="0C8F3D96"/>
    <w:rsid w:val="0CC02ECE"/>
    <w:rsid w:val="1432607A"/>
    <w:rsid w:val="170812E0"/>
    <w:rsid w:val="173B4567"/>
    <w:rsid w:val="19B105C1"/>
    <w:rsid w:val="1A845156"/>
    <w:rsid w:val="1ADD03C2"/>
    <w:rsid w:val="24E76A0D"/>
    <w:rsid w:val="261A4BC0"/>
    <w:rsid w:val="29537CE0"/>
    <w:rsid w:val="2A461AE0"/>
    <w:rsid w:val="2DB43204"/>
    <w:rsid w:val="3117323C"/>
    <w:rsid w:val="312E32CE"/>
    <w:rsid w:val="330B38C7"/>
    <w:rsid w:val="35FB2318"/>
    <w:rsid w:val="36653C36"/>
    <w:rsid w:val="3CDD2778"/>
    <w:rsid w:val="3EC040FF"/>
    <w:rsid w:val="3EF21442"/>
    <w:rsid w:val="44FA379B"/>
    <w:rsid w:val="49A60395"/>
    <w:rsid w:val="4D4D1254"/>
    <w:rsid w:val="4FDA66A3"/>
    <w:rsid w:val="500B71A4"/>
    <w:rsid w:val="561A5A4B"/>
    <w:rsid w:val="5AF957E3"/>
    <w:rsid w:val="5BB46942"/>
    <w:rsid w:val="5D2D69AC"/>
    <w:rsid w:val="617F14E7"/>
    <w:rsid w:val="634C3904"/>
    <w:rsid w:val="65436640"/>
    <w:rsid w:val="6723163B"/>
    <w:rsid w:val="6974326C"/>
    <w:rsid w:val="6A86594D"/>
    <w:rsid w:val="6C136D6D"/>
    <w:rsid w:val="74AC7D5E"/>
    <w:rsid w:val="77DB72D8"/>
    <w:rsid w:val="799F7E92"/>
    <w:rsid w:val="7AFC6FB5"/>
    <w:rsid w:val="7D516D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autoRedefine/>
    <w:qFormat/>
    <w:uiPriority w:val="99"/>
    <w:pPr>
      <w:snapToGrid w:val="0"/>
      <w:jc w:val="left"/>
    </w:pPr>
    <w:rPr>
      <w:sz w:val="18"/>
      <w:szCs w:val="18"/>
    </w:rPr>
  </w:style>
  <w:style w:type="paragraph" w:styleId="3">
    <w:name w:val="Body Text"/>
    <w:basedOn w:val="1"/>
    <w:autoRedefine/>
    <w:qFormat/>
    <w:uiPriority w:val="0"/>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autoRedefine/>
    <w:qFormat/>
    <w:uiPriority w:val="99"/>
    <w:pPr>
      <w:ind w:firstLine="420" w:firstLineChars="200"/>
    </w:pPr>
    <w:rPr>
      <w:szCs w:val="22"/>
    </w:rPr>
  </w:style>
  <w:style w:type="character" w:customStyle="1" w:styleId="9">
    <w:name w:val="页眉 Char"/>
    <w:basedOn w:val="7"/>
    <w:link w:val="5"/>
    <w:uiPriority w:val="0"/>
    <w:rPr>
      <w:rFonts w:ascii="Calibri" w:hAnsi="Calibri"/>
      <w:kern w:val="2"/>
      <w:sz w:val="18"/>
      <w:szCs w:val="18"/>
    </w:rPr>
  </w:style>
  <w:style w:type="character" w:customStyle="1" w:styleId="10">
    <w:name w:val="页脚 Char"/>
    <w:basedOn w:val="7"/>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2919</Words>
  <Characters>156</Characters>
  <Lines>1</Lines>
  <Paragraphs>6</Paragraphs>
  <TotalTime>13</TotalTime>
  <ScaleCrop>false</ScaleCrop>
  <LinksUpToDate>false</LinksUpToDate>
  <CharactersWithSpaces>3069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杨玉宁</cp:lastModifiedBy>
  <cp:lastPrinted>2025-08-28T02:48:00Z</cp:lastPrinted>
  <dcterms:modified xsi:type="dcterms:W3CDTF">2025-11-18T09:30:21Z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C758BC6BBF1444D0A1E299151111563A</vt:lpwstr>
  </property>
</Properties>
</file>