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农业农村局</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202</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21</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农业农村局</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rPr>
      </w:pPr>
      <w:r>
        <w:rPr>
          <w:rFonts w:hint="eastAsia" w:ascii="仿宋_GB2312" w:hAnsi="仿宋" w:eastAsia="仿宋_GB2312" w:cs="仿宋"/>
          <w:color w:val="000000"/>
          <w:sz w:val="28"/>
          <w:szCs w:val="28"/>
        </w:rPr>
        <w:t>统筹研究和组织实施“三农”工作的发展中长期规划、重大政策。统筹推动发展农村社会事业、农村公共服务、农村文化、农村基础设施和乡村治理。牵头组织改善农村人居环境。指导农村精神文明和优秀农耕文化建设。指导农业行业安全生产工作。贯彻落实国家关于深化农村经济体制改革和巩固完善农村基本经营制度的政策建议。指导乡村特色产业、农产品加工业、休闲农业和乡镇企业发展工作。负责种植业、畜牧业、渔业、农业机械化等农业各产业的监督管理。负责农产品质量安全监督管理。负责农业防灾减灾、农作物重大病虫害防治工</w:t>
      </w:r>
      <w:r>
        <w:rPr>
          <w:rFonts w:hint="eastAsia" w:ascii="仿宋_GB2312" w:hAnsi="仿宋" w:eastAsia="仿宋_GB2312" w:cs="仿宋"/>
          <w:color w:val="000000"/>
          <w:sz w:val="28"/>
          <w:szCs w:val="28"/>
          <w:lang w:eastAsia="zh-CN"/>
        </w:rPr>
        <w:t>作。</w:t>
      </w:r>
      <w:r>
        <w:rPr>
          <w:rFonts w:hint="eastAsia" w:ascii="仿宋_GB2312" w:hAnsi="仿宋" w:eastAsia="仿宋_GB2312" w:cs="仿宋"/>
          <w:color w:val="000000"/>
          <w:sz w:val="28"/>
          <w:szCs w:val="28"/>
        </w:rPr>
        <w:t>负责农业投资管理。推动农业科技体制改革和农业科技创新体系建设。指导农业产业技术体系和农技推广体系建设，</w:t>
      </w:r>
      <w:r>
        <w:rPr>
          <w:rFonts w:hint="eastAsia" w:ascii="仿宋_GB2312" w:eastAsia="仿宋_GB2312"/>
          <w:color w:val="000000"/>
          <w:sz w:val="28"/>
          <w:szCs w:val="28"/>
        </w:rPr>
        <w:t>积极参与构建新型农业社会化服务体系，推进农业产业化经营。</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 w:eastAsia="仿宋_GB2312" w:cs="仿宋"/>
          <w:color w:val="000000"/>
          <w:kern w:val="2"/>
          <w:sz w:val="28"/>
          <w:szCs w:val="28"/>
          <w:highlight w:val="none"/>
          <w:lang w:val="en-US" w:eastAsia="zh-CN" w:bidi="ar-SA"/>
        </w:rPr>
      </w:pPr>
      <w:r>
        <w:rPr>
          <w:rFonts w:hint="default" w:ascii="仿宋_GB2312" w:hAnsi="仿宋" w:eastAsia="仿宋_GB2312" w:cs="仿宋"/>
          <w:color w:val="000000"/>
          <w:kern w:val="2"/>
          <w:sz w:val="28"/>
          <w:szCs w:val="28"/>
          <w:lang w:val="en-US" w:eastAsia="zh-CN" w:bidi="ar-SA"/>
        </w:rPr>
        <w:t>我单位20</w:t>
      </w:r>
      <w:r>
        <w:rPr>
          <w:rFonts w:hint="eastAsia" w:ascii="仿宋_GB2312" w:hAnsi="仿宋" w:eastAsia="仿宋_GB2312" w:cs="仿宋"/>
          <w:color w:val="000000"/>
          <w:kern w:val="2"/>
          <w:sz w:val="28"/>
          <w:szCs w:val="28"/>
          <w:lang w:val="en-US" w:eastAsia="zh-CN" w:bidi="ar-SA"/>
        </w:rPr>
        <w:t>24</w:t>
      </w:r>
      <w:r>
        <w:rPr>
          <w:rFonts w:hint="default" w:ascii="仿宋_GB2312" w:hAnsi="仿宋" w:eastAsia="仿宋_GB2312" w:cs="仿宋"/>
          <w:color w:val="000000"/>
          <w:kern w:val="2"/>
          <w:sz w:val="28"/>
          <w:szCs w:val="28"/>
          <w:lang w:val="en-US" w:eastAsia="zh-CN" w:bidi="ar-SA"/>
        </w:rPr>
        <w:t>年</w:t>
      </w:r>
      <w:r>
        <w:rPr>
          <w:rFonts w:hint="eastAsia" w:ascii="仿宋_GB2312" w:hAnsi="仿宋" w:eastAsia="仿宋_GB2312" w:cs="仿宋"/>
          <w:color w:val="000000"/>
          <w:kern w:val="2"/>
          <w:sz w:val="28"/>
          <w:szCs w:val="28"/>
          <w:lang w:val="en-US" w:eastAsia="zh-CN" w:bidi="ar-SA"/>
        </w:rPr>
        <w:t>基本</w:t>
      </w:r>
      <w:r>
        <w:rPr>
          <w:rFonts w:hint="default" w:ascii="仿宋_GB2312" w:hAnsi="仿宋" w:eastAsia="仿宋_GB2312" w:cs="仿宋"/>
          <w:color w:val="000000"/>
          <w:kern w:val="2"/>
          <w:sz w:val="28"/>
          <w:szCs w:val="28"/>
          <w:lang w:val="en-US" w:eastAsia="zh-CN" w:bidi="ar-SA"/>
        </w:rPr>
        <w:t>支</w:t>
      </w:r>
      <w:r>
        <w:rPr>
          <w:rFonts w:hint="default" w:ascii="仿宋_GB2312" w:hAnsi="仿宋" w:eastAsia="仿宋_GB2312" w:cs="仿宋"/>
          <w:color w:val="000000"/>
          <w:kern w:val="2"/>
          <w:sz w:val="28"/>
          <w:szCs w:val="28"/>
          <w:highlight w:val="none"/>
          <w:lang w:val="en-US" w:eastAsia="zh-CN" w:bidi="ar-SA"/>
        </w:rPr>
        <w:t>出为</w:t>
      </w:r>
      <w:r>
        <w:rPr>
          <w:rFonts w:hint="eastAsia" w:ascii="仿宋_GB2312" w:hAnsi="仿宋" w:eastAsia="仿宋_GB2312" w:cs="仿宋"/>
          <w:color w:val="000000"/>
          <w:kern w:val="2"/>
          <w:sz w:val="28"/>
          <w:szCs w:val="28"/>
          <w:highlight w:val="none"/>
          <w:lang w:val="en-US" w:eastAsia="zh-CN" w:bidi="ar-SA"/>
        </w:rPr>
        <w:t>625.83</w:t>
      </w:r>
      <w:r>
        <w:rPr>
          <w:rFonts w:hint="default" w:ascii="仿宋_GB2312" w:hAnsi="仿宋" w:eastAsia="仿宋_GB2312" w:cs="仿宋"/>
          <w:color w:val="000000"/>
          <w:kern w:val="2"/>
          <w:sz w:val="28"/>
          <w:szCs w:val="28"/>
          <w:highlight w:val="none"/>
          <w:lang w:val="en-US" w:eastAsia="zh-CN" w:bidi="ar-SA"/>
        </w:rPr>
        <w:t>万元,其中:工资福利支出</w:t>
      </w:r>
      <w:r>
        <w:rPr>
          <w:rFonts w:hint="eastAsia" w:ascii="仿宋_GB2312" w:hAnsi="仿宋" w:eastAsia="仿宋_GB2312" w:cs="仿宋"/>
          <w:color w:val="000000"/>
          <w:kern w:val="2"/>
          <w:sz w:val="28"/>
          <w:szCs w:val="28"/>
          <w:highlight w:val="none"/>
          <w:lang w:val="en-US" w:eastAsia="zh-CN" w:bidi="ar-SA"/>
        </w:rPr>
        <w:t>547.53</w:t>
      </w:r>
      <w:r>
        <w:rPr>
          <w:rFonts w:hint="default" w:ascii="仿宋_GB2312" w:hAnsi="仿宋" w:eastAsia="仿宋_GB2312" w:cs="仿宋"/>
          <w:color w:val="000000"/>
          <w:kern w:val="2"/>
          <w:sz w:val="28"/>
          <w:szCs w:val="28"/>
          <w:highlight w:val="none"/>
          <w:lang w:val="en-US" w:eastAsia="zh-CN" w:bidi="ar-SA"/>
        </w:rPr>
        <w:t>万元、商品和服务支出</w:t>
      </w:r>
      <w:r>
        <w:rPr>
          <w:rFonts w:hint="eastAsia" w:ascii="仿宋_GB2312" w:hAnsi="仿宋" w:eastAsia="仿宋_GB2312" w:cs="仿宋"/>
          <w:color w:val="000000"/>
          <w:kern w:val="2"/>
          <w:sz w:val="28"/>
          <w:szCs w:val="28"/>
          <w:highlight w:val="none"/>
          <w:lang w:val="en-US" w:eastAsia="zh-CN" w:bidi="ar-SA"/>
        </w:rPr>
        <w:t>78.3</w:t>
      </w:r>
      <w:r>
        <w:rPr>
          <w:rFonts w:hint="default" w:ascii="仿宋_GB2312" w:hAnsi="仿宋" w:eastAsia="仿宋_GB2312" w:cs="仿宋"/>
          <w:color w:val="000000"/>
          <w:kern w:val="2"/>
          <w:sz w:val="28"/>
          <w:szCs w:val="28"/>
          <w:highlight w:val="none"/>
          <w:lang w:val="en-US" w:eastAsia="zh-CN" w:bidi="ar-SA"/>
        </w:rPr>
        <w:t>万元</w:t>
      </w:r>
      <w:r>
        <w:rPr>
          <w:rFonts w:hint="eastAsia" w:ascii="仿宋_GB2312" w:hAnsi="仿宋" w:eastAsia="仿宋_GB2312" w:cs="仿宋"/>
          <w:color w:val="000000"/>
          <w:kern w:val="2"/>
          <w:sz w:val="28"/>
          <w:szCs w:val="28"/>
          <w:highlight w:val="none"/>
          <w:lang w:val="en-US" w:eastAsia="zh-CN" w:bidi="ar-SA"/>
        </w:rPr>
        <w:t>，</w:t>
      </w:r>
      <w:r>
        <w:rPr>
          <w:rFonts w:hint="default" w:ascii="仿宋_GB2312" w:hAnsi="仿宋" w:eastAsia="仿宋_GB2312" w:cs="仿宋"/>
          <w:color w:val="000000"/>
          <w:kern w:val="2"/>
          <w:sz w:val="28"/>
          <w:szCs w:val="28"/>
          <w:highlight w:val="none"/>
          <w:lang w:val="en-US" w:eastAsia="zh-CN" w:bidi="ar-SA"/>
        </w:rPr>
        <w:t>对个人和家庭的补助</w:t>
      </w:r>
      <w:r>
        <w:rPr>
          <w:rFonts w:hint="eastAsia" w:ascii="仿宋_GB2312" w:hAnsi="仿宋" w:eastAsia="仿宋_GB2312" w:cs="仿宋"/>
          <w:color w:val="000000"/>
          <w:kern w:val="2"/>
          <w:sz w:val="28"/>
          <w:szCs w:val="28"/>
          <w:highlight w:val="none"/>
          <w:lang w:val="en-US" w:eastAsia="zh-CN" w:bidi="ar-SA"/>
        </w:rPr>
        <w:t>0</w:t>
      </w:r>
      <w:r>
        <w:rPr>
          <w:rFonts w:hint="default" w:ascii="仿宋_GB2312" w:hAnsi="仿宋" w:eastAsia="仿宋_GB2312" w:cs="仿宋"/>
          <w:color w:val="000000"/>
          <w:kern w:val="2"/>
          <w:sz w:val="28"/>
          <w:szCs w:val="28"/>
          <w:highlight w:val="none"/>
          <w:lang w:val="en-US" w:eastAsia="zh-CN" w:bidi="ar-SA"/>
        </w:rPr>
        <w:t>万元。</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left="-13" w:leftChars="0" w:firstLine="643" w:firstLineChars="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项目支出情况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 w:eastAsia="仿宋_GB2312" w:cs="仿宋"/>
          <w:color w:val="000000"/>
          <w:kern w:val="2"/>
          <w:sz w:val="28"/>
          <w:szCs w:val="28"/>
          <w:highlight w:val="none"/>
          <w:lang w:val="en-US" w:eastAsia="zh-CN" w:bidi="ar-SA"/>
        </w:rPr>
      </w:pPr>
      <w:r>
        <w:rPr>
          <w:rFonts w:hint="default" w:ascii="仿宋_GB2312" w:hAnsi="仿宋" w:eastAsia="仿宋_GB2312" w:cs="仿宋"/>
          <w:color w:val="000000"/>
          <w:kern w:val="2"/>
          <w:sz w:val="28"/>
          <w:szCs w:val="28"/>
          <w:lang w:val="en-US" w:eastAsia="zh-CN" w:bidi="ar-SA"/>
        </w:rPr>
        <w:t>20</w:t>
      </w:r>
      <w:r>
        <w:rPr>
          <w:rFonts w:hint="eastAsia" w:ascii="仿宋_GB2312" w:hAnsi="仿宋" w:eastAsia="仿宋_GB2312" w:cs="仿宋"/>
          <w:color w:val="000000"/>
          <w:kern w:val="2"/>
          <w:sz w:val="28"/>
          <w:szCs w:val="28"/>
          <w:lang w:val="en-US" w:eastAsia="zh-CN" w:bidi="ar-SA"/>
        </w:rPr>
        <w:t>23</w:t>
      </w:r>
      <w:r>
        <w:rPr>
          <w:rFonts w:hint="default" w:ascii="仿宋_GB2312" w:hAnsi="仿宋" w:eastAsia="仿宋_GB2312" w:cs="仿宋"/>
          <w:color w:val="000000"/>
          <w:kern w:val="2"/>
          <w:sz w:val="28"/>
          <w:szCs w:val="28"/>
          <w:lang w:val="en-US" w:eastAsia="zh-CN" w:bidi="ar-SA"/>
        </w:rPr>
        <w:t>年度我</w:t>
      </w:r>
      <w:r>
        <w:rPr>
          <w:rFonts w:hint="eastAsia" w:ascii="仿宋_GB2312" w:hAnsi="仿宋" w:eastAsia="仿宋_GB2312" w:cs="仿宋"/>
          <w:color w:val="000000"/>
          <w:kern w:val="2"/>
          <w:sz w:val="28"/>
          <w:szCs w:val="28"/>
          <w:lang w:val="en-US" w:eastAsia="zh-CN" w:bidi="ar-SA"/>
        </w:rPr>
        <w:t>单位</w:t>
      </w:r>
      <w:r>
        <w:rPr>
          <w:rFonts w:hint="default" w:ascii="仿宋_GB2312" w:hAnsi="仿宋" w:eastAsia="仿宋_GB2312" w:cs="仿宋"/>
          <w:color w:val="000000"/>
          <w:kern w:val="2"/>
          <w:sz w:val="28"/>
          <w:szCs w:val="28"/>
          <w:lang w:val="en-US" w:eastAsia="zh-CN" w:bidi="ar-SA"/>
        </w:rPr>
        <w:t>预算项目支出总额</w:t>
      </w:r>
      <w:r>
        <w:rPr>
          <w:rFonts w:hint="eastAsia" w:ascii="仿宋_GB2312" w:hAnsi="仿宋" w:eastAsia="仿宋_GB2312" w:cs="仿宋"/>
          <w:color w:val="000000"/>
          <w:kern w:val="2"/>
          <w:sz w:val="28"/>
          <w:szCs w:val="28"/>
          <w:lang w:val="en-US" w:eastAsia="zh-CN" w:bidi="ar-SA"/>
        </w:rPr>
        <w:t>8766</w:t>
      </w:r>
      <w:r>
        <w:rPr>
          <w:rFonts w:hint="default" w:ascii="仿宋_GB2312" w:hAnsi="仿宋" w:eastAsia="仿宋_GB2312" w:cs="仿宋"/>
          <w:color w:val="000000"/>
          <w:kern w:val="2"/>
          <w:sz w:val="28"/>
          <w:szCs w:val="28"/>
          <w:lang w:val="en-US" w:eastAsia="zh-CN" w:bidi="ar-SA"/>
        </w:rPr>
        <w:t>万元,</w:t>
      </w:r>
      <w:r>
        <w:rPr>
          <w:rFonts w:hint="default" w:ascii="仿宋_GB2312" w:hAnsi="仿宋" w:eastAsia="仿宋_GB2312" w:cs="仿宋"/>
          <w:color w:val="000000"/>
          <w:kern w:val="2"/>
          <w:sz w:val="28"/>
          <w:szCs w:val="28"/>
          <w:highlight w:val="none"/>
          <w:lang w:val="en-US" w:eastAsia="zh-CN" w:bidi="ar-SA"/>
        </w:rPr>
        <w:t>对事业单位经常性补助</w:t>
      </w:r>
      <w:r>
        <w:rPr>
          <w:rFonts w:hint="eastAsia" w:ascii="仿宋_GB2312" w:hAnsi="仿宋" w:eastAsia="仿宋_GB2312" w:cs="仿宋"/>
          <w:color w:val="000000"/>
          <w:kern w:val="2"/>
          <w:sz w:val="28"/>
          <w:szCs w:val="28"/>
          <w:highlight w:val="none"/>
          <w:lang w:val="en-US" w:eastAsia="zh-CN" w:bidi="ar-SA"/>
        </w:rPr>
        <w:t>84万元，</w:t>
      </w:r>
      <w:r>
        <w:rPr>
          <w:rFonts w:hint="default" w:ascii="仿宋_GB2312" w:hAnsi="仿宋" w:eastAsia="仿宋_GB2312" w:cs="仿宋"/>
          <w:color w:val="000000"/>
          <w:kern w:val="2"/>
          <w:sz w:val="28"/>
          <w:szCs w:val="28"/>
          <w:highlight w:val="none"/>
          <w:lang w:val="en-US" w:eastAsia="zh-CN" w:bidi="ar-SA"/>
        </w:rPr>
        <w:t>对个人和家庭的补助</w:t>
      </w:r>
      <w:r>
        <w:rPr>
          <w:rFonts w:hint="eastAsia" w:ascii="仿宋_GB2312" w:hAnsi="仿宋" w:eastAsia="仿宋_GB2312" w:cs="仿宋"/>
          <w:color w:val="000000"/>
          <w:kern w:val="2"/>
          <w:sz w:val="28"/>
          <w:szCs w:val="28"/>
          <w:highlight w:val="none"/>
          <w:lang w:val="en-US" w:eastAsia="zh-CN" w:bidi="ar-SA"/>
        </w:rPr>
        <w:t>3150</w:t>
      </w:r>
      <w:r>
        <w:rPr>
          <w:rFonts w:hint="default" w:ascii="仿宋_GB2312" w:hAnsi="仿宋" w:eastAsia="仿宋_GB2312" w:cs="仿宋"/>
          <w:color w:val="000000"/>
          <w:kern w:val="2"/>
          <w:sz w:val="28"/>
          <w:szCs w:val="28"/>
          <w:highlight w:val="none"/>
          <w:lang w:val="en-US" w:eastAsia="zh-CN" w:bidi="ar-SA"/>
        </w:rPr>
        <w:t>万元</w:t>
      </w:r>
      <w:r>
        <w:rPr>
          <w:rFonts w:hint="eastAsia" w:ascii="仿宋_GB2312" w:hAnsi="仿宋" w:eastAsia="仿宋_GB2312" w:cs="仿宋"/>
          <w:color w:val="000000"/>
          <w:kern w:val="2"/>
          <w:sz w:val="28"/>
          <w:szCs w:val="28"/>
          <w:highlight w:val="none"/>
          <w:lang w:val="en-US" w:eastAsia="zh-CN" w:bidi="ar-SA"/>
        </w:rPr>
        <w:t>，资本性支出1502万元，其他支出4030万元</w:t>
      </w:r>
      <w:r>
        <w:rPr>
          <w:rFonts w:hint="default" w:ascii="仿宋_GB2312" w:hAnsi="仿宋" w:eastAsia="仿宋_GB2312" w:cs="仿宋"/>
          <w:color w:val="000000"/>
          <w:kern w:val="2"/>
          <w:sz w:val="28"/>
          <w:szCs w:val="28"/>
          <w:highlight w:val="none"/>
          <w:lang w:val="en-US" w:eastAsia="zh-CN" w:bidi="ar-SA"/>
        </w:rPr>
        <w:t>。</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无</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无</w:t>
      </w:r>
      <w:bookmarkStart w:id="0" w:name="_GoBack"/>
      <w:bookmarkEnd w:id="0"/>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pStyle w:val="4"/>
        <w:keepNext w:val="0"/>
        <w:keepLines w:val="0"/>
        <w:pageBreakBefore w:val="0"/>
        <w:wordWrap/>
        <w:overflowPunct/>
        <w:topLinePunct w:val="0"/>
        <w:bidi w:val="0"/>
        <w:ind w:firstLine="560" w:firstLineChars="200"/>
        <w:rPr>
          <w:rFonts w:hint="eastAsia" w:eastAsia="宋体"/>
          <w:lang w:eastAsia="zh-CN"/>
        </w:rPr>
      </w:pPr>
      <w:r>
        <w:rPr>
          <w:rFonts w:hint="eastAsia" w:ascii="仿宋" w:hAnsi="仿宋" w:eastAsia="仿宋" w:cs="仿宋"/>
          <w:color w:val="000000"/>
          <w:sz w:val="28"/>
          <w:szCs w:val="28"/>
          <w:lang w:val="en-US" w:eastAsia="zh-CN"/>
        </w:rPr>
        <w:t>经济指标完成较好，超额完成省、市定粮食生产任务，生猪等畜禽指标稳定提升，争项争资卓有成效。1、乡村振兴有序推进。生态高效农业试点较好。2、全区力争新增注册合作社13个、省级示范家庭农场、省级示范社重点培育项目各1个，申报市级示范社2个、市级示范家庭农场5个、区级示范社10个、区级家庭农场5个。</w:t>
      </w:r>
      <w:r>
        <w:rPr>
          <w:rFonts w:hint="eastAsia" w:ascii="仿宋" w:hAnsi="仿宋" w:eastAsia="仿宋" w:cs="仿宋"/>
          <w:b w:val="0"/>
          <w:bCs w:val="0"/>
          <w:sz w:val="28"/>
          <w:szCs w:val="28"/>
          <w:highlight w:val="none"/>
          <w:lang w:val="en-US" w:eastAsia="zh-CN"/>
        </w:rPr>
        <w:t>3、项目建设有序推进。4、农产品质量安全检测合格率100%。</w:t>
      </w:r>
      <w:r>
        <w:rPr>
          <w:rFonts w:hint="eastAsia" w:ascii="仿宋" w:hAnsi="仿宋" w:eastAsia="仿宋" w:cs="仿宋"/>
          <w:color w:val="000000"/>
          <w:sz w:val="28"/>
          <w:szCs w:val="28"/>
          <w:lang w:val="en-US" w:eastAsia="zh-CN"/>
        </w:rPr>
        <w:t>全区</w:t>
      </w:r>
      <w:r>
        <w:rPr>
          <w:rFonts w:hint="eastAsia" w:ascii="仿宋" w:hAnsi="仿宋" w:eastAsia="仿宋" w:cs="仿宋"/>
          <w:b w:val="0"/>
          <w:bCs w:val="0"/>
          <w:sz w:val="28"/>
          <w:szCs w:val="28"/>
          <w:highlight w:val="none"/>
          <w:lang w:val="en-US" w:eastAsia="zh-CN"/>
        </w:rPr>
        <w:t>农业农村工作有新发展和进步。</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560" w:firstLineChars="200"/>
        <w:jc w:val="both"/>
        <w:textAlignment w:val="auto"/>
        <w:rPr>
          <w:rFonts w:hint="default" w:ascii="仿宋" w:hAnsi="仿宋" w:eastAsia="仿宋" w:cs="仿宋"/>
          <w:b w:val="0"/>
          <w:bCs w:val="0"/>
          <w:kern w:val="2"/>
          <w:sz w:val="28"/>
          <w:szCs w:val="28"/>
          <w:highlight w:val="none"/>
          <w:lang w:val="en-US" w:eastAsia="zh-CN" w:bidi="ar-SA"/>
        </w:rPr>
      </w:pPr>
      <w:r>
        <w:rPr>
          <w:rFonts w:hint="default" w:ascii="仿宋" w:hAnsi="仿宋" w:eastAsia="仿宋" w:cs="仿宋"/>
          <w:b w:val="0"/>
          <w:bCs w:val="0"/>
          <w:kern w:val="2"/>
          <w:sz w:val="28"/>
          <w:szCs w:val="28"/>
          <w:highlight w:val="none"/>
          <w:lang w:val="en-US" w:eastAsia="zh-CN" w:bidi="ar-SA"/>
        </w:rPr>
        <w:t>1.因单位</w:t>
      </w:r>
      <w:r>
        <w:rPr>
          <w:rFonts w:hint="eastAsia" w:ascii="仿宋" w:hAnsi="仿宋" w:eastAsia="仿宋" w:cs="仿宋"/>
          <w:b w:val="0"/>
          <w:bCs w:val="0"/>
          <w:kern w:val="2"/>
          <w:sz w:val="28"/>
          <w:szCs w:val="28"/>
          <w:highlight w:val="none"/>
          <w:lang w:val="en-US" w:eastAsia="zh-CN" w:bidi="ar-SA"/>
        </w:rPr>
        <w:t>业务量大且人员多</w:t>
      </w:r>
      <w:r>
        <w:rPr>
          <w:rFonts w:hint="default" w:ascii="仿宋" w:hAnsi="仿宋" w:eastAsia="仿宋" w:cs="仿宋"/>
          <w:b w:val="0"/>
          <w:bCs w:val="0"/>
          <w:kern w:val="2"/>
          <w:sz w:val="28"/>
          <w:szCs w:val="28"/>
          <w:highlight w:val="none"/>
          <w:lang w:val="en-US" w:eastAsia="zh-CN" w:bidi="ar-SA"/>
        </w:rPr>
        <w:t>导致经费不足</w:t>
      </w:r>
      <w:r>
        <w:rPr>
          <w:rFonts w:hint="eastAsia" w:ascii="仿宋" w:hAnsi="仿宋" w:eastAsia="仿宋" w:cs="仿宋"/>
          <w:b w:val="0"/>
          <w:bCs w:val="0"/>
          <w:kern w:val="2"/>
          <w:sz w:val="28"/>
          <w:szCs w:val="28"/>
          <w:highlight w:val="none"/>
          <w:lang w:val="en-US" w:eastAsia="zh-CN" w:bidi="ar-SA"/>
        </w:rPr>
        <w:t>，</w:t>
      </w:r>
      <w:r>
        <w:rPr>
          <w:rFonts w:hint="default" w:ascii="仿宋" w:hAnsi="仿宋" w:eastAsia="仿宋" w:cs="仿宋"/>
          <w:b w:val="0"/>
          <w:bCs w:val="0"/>
          <w:kern w:val="2"/>
          <w:sz w:val="28"/>
          <w:szCs w:val="28"/>
          <w:highlight w:val="none"/>
          <w:lang w:val="en-US" w:eastAsia="zh-CN" w:bidi="ar-SA"/>
        </w:rPr>
        <w:t>日常公用经费不足、与实际支出相差不足。</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560" w:firstLineChars="200"/>
        <w:jc w:val="both"/>
        <w:textAlignment w:val="auto"/>
        <w:rPr>
          <w:rFonts w:hint="default" w:ascii="仿宋" w:hAnsi="仿宋" w:eastAsia="仿宋" w:cs="仿宋"/>
          <w:b w:val="0"/>
          <w:bCs w:val="0"/>
          <w:kern w:val="2"/>
          <w:sz w:val="28"/>
          <w:szCs w:val="28"/>
          <w:highlight w:val="none"/>
          <w:lang w:val="en-US" w:eastAsia="zh-CN" w:bidi="ar-SA"/>
        </w:rPr>
      </w:pPr>
      <w:r>
        <w:rPr>
          <w:rFonts w:hint="default" w:ascii="仿宋" w:hAnsi="仿宋" w:eastAsia="仿宋" w:cs="仿宋"/>
          <w:b w:val="0"/>
          <w:bCs w:val="0"/>
          <w:kern w:val="2"/>
          <w:sz w:val="28"/>
          <w:szCs w:val="28"/>
          <w:highlight w:val="none"/>
          <w:lang w:val="en-US" w:eastAsia="zh-CN" w:bidi="ar-SA"/>
        </w:rPr>
        <w:t>2.预算</w:t>
      </w:r>
      <w:r>
        <w:rPr>
          <w:rFonts w:hint="eastAsia" w:ascii="仿宋" w:hAnsi="仿宋" w:eastAsia="仿宋" w:cs="仿宋"/>
          <w:b w:val="0"/>
          <w:bCs w:val="0"/>
          <w:kern w:val="2"/>
          <w:sz w:val="28"/>
          <w:szCs w:val="28"/>
          <w:highlight w:val="none"/>
          <w:lang w:val="en-US" w:eastAsia="zh-CN" w:bidi="ar-SA"/>
        </w:rPr>
        <w:t>编</w:t>
      </w:r>
      <w:r>
        <w:rPr>
          <w:rFonts w:hint="default" w:ascii="仿宋" w:hAnsi="仿宋" w:eastAsia="仿宋" w:cs="仿宋"/>
          <w:b w:val="0"/>
          <w:bCs w:val="0"/>
          <w:kern w:val="2"/>
          <w:sz w:val="28"/>
          <w:szCs w:val="28"/>
          <w:highlight w:val="none"/>
          <w:lang w:val="en-US" w:eastAsia="zh-CN" w:bidi="ar-SA"/>
        </w:rPr>
        <w:t>制工作有待细化。预算编制不够明确和细化,预算编制的合理性需要提高,预算</w:t>
      </w:r>
      <w:r>
        <w:rPr>
          <w:rFonts w:hint="eastAsia" w:ascii="仿宋" w:hAnsi="仿宋" w:eastAsia="仿宋" w:cs="仿宋"/>
          <w:b w:val="0"/>
          <w:bCs w:val="0"/>
          <w:kern w:val="2"/>
          <w:sz w:val="28"/>
          <w:szCs w:val="28"/>
          <w:highlight w:val="none"/>
          <w:lang w:val="en-US" w:eastAsia="zh-CN" w:bidi="ar-SA"/>
        </w:rPr>
        <w:t>执</w:t>
      </w:r>
      <w:r>
        <w:rPr>
          <w:rFonts w:hint="default" w:ascii="仿宋" w:hAnsi="仿宋" w:eastAsia="仿宋" w:cs="仿宋"/>
          <w:b w:val="0"/>
          <w:bCs w:val="0"/>
          <w:kern w:val="2"/>
          <w:sz w:val="28"/>
          <w:szCs w:val="28"/>
          <w:highlight w:val="none"/>
          <w:lang w:val="en-US" w:eastAsia="zh-CN" w:bidi="ar-SA"/>
        </w:rPr>
        <w:t>行力度还要进一步加强。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560" w:firstLineChars="200"/>
        <w:jc w:val="both"/>
        <w:textAlignment w:val="auto"/>
        <w:rPr>
          <w:rFonts w:hint="default" w:ascii="仿宋" w:hAnsi="仿宋" w:eastAsia="仿宋" w:cs="仿宋"/>
          <w:b w:val="0"/>
          <w:bCs w:val="0"/>
          <w:kern w:val="2"/>
          <w:sz w:val="28"/>
          <w:szCs w:val="28"/>
          <w:highlight w:val="none"/>
          <w:lang w:val="en-US" w:eastAsia="zh-CN" w:bidi="ar-SA"/>
        </w:rPr>
      </w:pPr>
      <w:r>
        <w:rPr>
          <w:rFonts w:hint="default" w:ascii="仿宋" w:hAnsi="仿宋" w:eastAsia="仿宋" w:cs="仿宋"/>
          <w:b w:val="0"/>
          <w:bCs w:val="0"/>
          <w:kern w:val="2"/>
          <w:sz w:val="28"/>
          <w:szCs w:val="28"/>
          <w:highlight w:val="none"/>
          <w:lang w:val="en-US" w:eastAsia="zh-CN" w:bidi="ar-SA"/>
        </w:rPr>
        <w:t>3.公用经费和三公经费控制有一定难度,基本为刚性支出。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1.细化须算编制工作,认真做好预算的编制。进一步加强单位内部机构各办公室的预算管理意识,严格安照预算编制的相关制度和要障固定性的、相对刚件的费用支出项目,尽量压缩变动性的、有控制空间的费用项目,进一步提高预算编制的科学性、严谨性和可控性。加强内部预算编制的审核和预算控制指标的下达。</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2.加强财务管理,严格财务审核。加强单位财务管理,健全单位财务管理度体系,规范单位财务行为。在费用报账支付时,按照预算规定的费用项目和用途进行资金使用审核、列报支付、财务核算,杜绝超支现象的发生</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kern w:val="2"/>
          <w:sz w:val="28"/>
          <w:szCs w:val="28"/>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w:t>
      </w:r>
      <w:r>
        <w:rPr>
          <w:rFonts w:hint="eastAsia" w:ascii="仿宋" w:hAnsi="仿宋" w:eastAsia="仿宋" w:cs="仿宋"/>
          <w:color w:val="000000"/>
          <w:kern w:val="2"/>
          <w:sz w:val="28"/>
          <w:szCs w:val="28"/>
          <w:lang w:val="en-US" w:eastAsia="zh-CN" w:bidi="ar-SA"/>
        </w:rPr>
        <w:t>。</w:t>
      </w:r>
    </w:p>
    <w:p>
      <w:pPr>
        <w:pStyle w:val="2"/>
        <w:rPr>
          <w:rFonts w:hint="default"/>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lang w:val="en-US" w:eastAsia="zh-CN"/>
        </w:rPr>
        <w:t>1、通过绩效自评，进一步掌握了本单位资金使用情况，和资金使用效果，总结了专项资金管理经验，为今后完善年初预算编制、加强资金管理、健全资金支出项目、提高资金绩效管理、加大资金使用效益工作提供了重要的参考依据。</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lang w:val="en-US" w:eastAsia="zh-CN"/>
        </w:rPr>
        <w:t>2、部门整体支出绩效自评报告按照财政在规定时间内在政府门户网上进行公开，接受社会监督。</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政府性基金预算支出情况表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58877"/>
    <w:multiLevelType w:val="singleLevel"/>
    <w:tmpl w:val="B5A58877"/>
    <w:lvl w:ilvl="0" w:tentative="0">
      <w:start w:val="2"/>
      <w:numFmt w:val="chineseCounting"/>
      <w:suff w:val="nothing"/>
      <w:lvlText w:val="（%1）"/>
      <w:lvlJc w:val="left"/>
      <w:pPr>
        <w:ind w:left="-13"/>
      </w:pPr>
      <w:rPr>
        <w:rFonts w:hint="eastAsia"/>
      </w:rPr>
    </w:lvl>
  </w:abstractNum>
  <w:abstractNum w:abstractNumId="1">
    <w:nsid w:val="1FA67DC9"/>
    <w:multiLevelType w:val="singleLevel"/>
    <w:tmpl w:val="1FA67DC9"/>
    <w:lvl w:ilvl="0" w:tentative="0">
      <w:start w:val="4"/>
      <w:numFmt w:val="chineseCounting"/>
      <w:suff w:val="nothing"/>
      <w:lvlText w:val="%1、"/>
      <w:lvlJc w:val="left"/>
      <w:rPr>
        <w:rFonts w:hint="eastAsia"/>
      </w:rPr>
    </w:lvl>
  </w:abstractNum>
  <w:abstractNum w:abstractNumId="2">
    <w:nsid w:val="2B803711"/>
    <w:multiLevelType w:val="singleLevel"/>
    <w:tmpl w:val="2B80371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MWI1ZjRhYmZjNWRhNThiZTEwYWE2NmEzOTZlZTEifQ=="/>
  </w:docVars>
  <w:rsids>
    <w:rsidRoot w:val="170812E0"/>
    <w:rsid w:val="10FC5DD7"/>
    <w:rsid w:val="14340046"/>
    <w:rsid w:val="170812E0"/>
    <w:rsid w:val="1D756FD8"/>
    <w:rsid w:val="202D3B9A"/>
    <w:rsid w:val="29537CE0"/>
    <w:rsid w:val="319F2A97"/>
    <w:rsid w:val="3EF21442"/>
    <w:rsid w:val="3F3774D1"/>
    <w:rsid w:val="42E44134"/>
    <w:rsid w:val="49333D25"/>
    <w:rsid w:val="495518E8"/>
    <w:rsid w:val="4A670E9D"/>
    <w:rsid w:val="78F60B5E"/>
    <w:rsid w:val="79BD2A0E"/>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endnote text"/>
    <w:basedOn w:val="1"/>
    <w:qFormat/>
    <w:uiPriority w:val="0"/>
  </w:style>
  <w:style w:type="paragraph" w:styleId="3">
    <w:name w:val="Body Text"/>
    <w:basedOn w:val="1"/>
    <w:next w:val="1"/>
    <w:autoRedefine/>
    <w:qFormat/>
    <w:uiPriority w:val="0"/>
    <w:pPr>
      <w:spacing w:after="120" w:afterLines="0" w:afterAutospacing="0"/>
    </w:pPr>
  </w:style>
  <w:style w:type="paragraph" w:styleId="4">
    <w:name w:val="Body Text First Indent"/>
    <w:basedOn w:val="3"/>
    <w:next w:val="1"/>
    <w:autoRedefine/>
    <w:qFormat/>
    <w:uiPriority w:val="0"/>
    <w:pPr>
      <w:ind w:firstLine="420" w:firstLineChars="100"/>
    </w:p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548</Words>
  <Characters>560</Characters>
  <Lines>0</Lines>
  <Paragraphs>0</Paragraphs>
  <TotalTime>26</TotalTime>
  <ScaleCrop>false</ScaleCrop>
  <LinksUpToDate>false</LinksUpToDate>
  <CharactersWithSpaces>564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宁嘉怡</cp:lastModifiedBy>
  <dcterms:modified xsi:type="dcterms:W3CDTF">2025-08-27T03:06:09Z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E43751263C824FDDBCBD55CA37A2E6BD_13</vt:lpwstr>
  </property>
</Properties>
</file>