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岳阳市</w:t>
      </w:r>
      <w:r>
        <w:rPr>
          <w:rFonts w:hint="eastAsia" w:ascii="方正小标宋简体" w:hAnsi="方正小标宋简体" w:eastAsia="方正小标宋简体" w:cs="方正小标宋简体"/>
          <w:sz w:val="44"/>
          <w:szCs w:val="44"/>
          <w:lang w:val="en-US" w:eastAsia="zh-CN"/>
        </w:rPr>
        <w:t>屈原管理区财政局</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部门名称：</w:t>
      </w:r>
      <w:r>
        <w:rPr>
          <w:rFonts w:hint="eastAsia" w:ascii="Times New Roman" w:hAnsi="Times New Roman" w:eastAsia="仿宋_GB2312" w:cs="Times New Roman"/>
          <w:sz w:val="32"/>
          <w:szCs w:val="32"/>
          <w:u w:val="single"/>
          <w:lang w:eastAsia="zh-CN"/>
        </w:rPr>
        <w:t>岳阳市</w:t>
      </w:r>
      <w:r>
        <w:rPr>
          <w:rFonts w:hint="eastAsia" w:ascii="Times New Roman" w:hAnsi="Times New Roman" w:eastAsia="仿宋_GB2312" w:cs="Times New Roman"/>
          <w:sz w:val="32"/>
          <w:szCs w:val="32"/>
          <w:u w:val="single"/>
          <w:lang w:val="en-US" w:eastAsia="zh-CN"/>
        </w:rPr>
        <w:t>屈原管理区财政局</w:t>
      </w:r>
    </w:p>
    <w:p>
      <w:pPr>
        <w:spacing w:line="600" w:lineRule="exact"/>
        <w:jc w:val="center"/>
        <w:rPr>
          <w:rFonts w:hint="eastAsia" w:ascii="方正小标宋简体" w:hAnsi="方正小标宋简体" w:eastAsia="方正小标宋简体" w:cs="方正小标宋简体"/>
          <w:sz w:val="44"/>
          <w:szCs w:val="44"/>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日</w:t>
      </w: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屈原管理区财政局</w:t>
      </w:r>
      <w:r>
        <w:rPr>
          <w:rFonts w:hint="eastAsia" w:ascii="方正小标宋简体" w:hAnsi="方正小标宋简体" w:eastAsia="方正小标宋简体" w:cs="方正小标宋简体"/>
          <w:sz w:val="44"/>
          <w:szCs w:val="44"/>
        </w:rPr>
        <w:t>整体支出</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区财政局是区管委综合管理全区财政收支，主管财税政策，实施财政监督，参与对国民经济进行宏观调控的职能部门，主要职责是：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1、贯彻执行国家财税法律法规和方针政策，主管全区财政工作；运用财政政策，制定财政综合预算方案；拟订财政管理体制。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2、制订和执行财政、财务、会计、国有资产管理的规章制度。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3、编制年度区本级预算草案并组织执行预算；编制区本级财政总预算；汇编全区财政收支预算，监督各乡（镇）预算的执行，汇总全区财政总预算；受区管委委托，向区人大政协工委报告区本级预算、预算执行情况和财政总决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4、管理各项财政收入和财政专户资金；管理有关政府性基金，会同有关部门审查收费项目和标准，管理收费票据。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5、上报税制改革建议；根据全区经济发展状况及国民经济发展计划拟定税收收入计划；负责耕地占用税、契税、国有土地有偿使用收入、其他收入的征收管理。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6、管理行政政法和教科文支出；拟订和执行政府采购政策，负责控制社会集团购买力工作；制订需要全区统一规定的开支标准和支出政策；执行《行政单位财务规则》、《事业单位财务规则》。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7、管理各项财政性专项资金支出；负责财政性资金投资项目、工程预决算审查；负责财政支农、农业财务管理和农业综合开发。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8、拟订并执行社会保障资金的财务管理制度；管理财政社会保障支出。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9、执行政府国内债务管理的方针政策、规章制度和管理办法，执行政府外债管理的规章制度，管理世界银行贷款。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10、监督执行行政和事业单位及分行业的会计制度；监督企业执行《企业会计准则》的情况；严格执行区人大批准的政府预算；加强财务检查监督工作。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11、监督财税方针、政策、法律法规的执行；检查反映财政收支管理中的重大问题，提出加强财政管理的政策建议。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12、参与制订全区财源建设规划，加强财源建设资金的管理与监督。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13、组织开展全区的财政政策调查研究和财政科研工作，负责财政宣传和财政信息工作。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14、负责制订全区财政教育规划，组织全区财政人员的培训。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15、承办区委、区管委和上一级财政部门交办的其他事项。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rPr>
        <w:t>（二）机构设置</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rPr>
      </w:pPr>
      <w:r>
        <w:rPr>
          <w:rFonts w:hint="eastAsia" w:ascii="Times New Roman" w:hAnsi="Times New Roman" w:eastAsia="仿宋_GB2312" w:cs="仿宋_GB2312"/>
          <w:kern w:val="0"/>
          <w:sz w:val="32"/>
          <w:szCs w:val="32"/>
          <w:lang w:eastAsia="zh-CN"/>
        </w:rPr>
        <w:t>屈原管理区财政局下设3个二级机构：区国库集中支付核算中心、区财政事务中心、区乡镇财政结算中心。</w:t>
      </w:r>
      <w:r>
        <w:rPr>
          <w:rFonts w:hint="eastAsia" w:ascii="Times New Roman" w:hAnsi="Times New Roman" w:eastAsia="仿宋_GB2312" w:cs="仿宋_GB2312"/>
          <w:kern w:val="0"/>
          <w:sz w:val="32"/>
          <w:szCs w:val="32"/>
          <w:highlight w:val="none"/>
          <w:lang w:eastAsia="zh-CN"/>
        </w:rPr>
        <w:t>其中在职</w:t>
      </w:r>
      <w:r>
        <w:rPr>
          <w:rFonts w:hint="eastAsia" w:ascii="Times New Roman" w:hAnsi="Times New Roman" w:eastAsia="仿宋_GB2312" w:cs="仿宋_GB2312"/>
          <w:kern w:val="0"/>
          <w:sz w:val="32"/>
          <w:szCs w:val="32"/>
          <w:highlight w:val="none"/>
          <w:lang w:val="en-US" w:eastAsia="zh-CN"/>
        </w:rPr>
        <w:t>27</w:t>
      </w:r>
      <w:r>
        <w:rPr>
          <w:rFonts w:hint="eastAsia" w:ascii="Times New Roman" w:hAnsi="Times New Roman" w:eastAsia="仿宋_GB2312" w:cs="仿宋_GB2312"/>
          <w:kern w:val="0"/>
          <w:sz w:val="32"/>
          <w:szCs w:val="32"/>
          <w:highlight w:val="none"/>
          <w:lang w:eastAsia="zh-CN"/>
        </w:rPr>
        <w:t>人，离退休</w:t>
      </w:r>
      <w:r>
        <w:rPr>
          <w:rFonts w:hint="eastAsia" w:ascii="Times New Roman" w:hAnsi="Times New Roman" w:eastAsia="仿宋_GB2312" w:cs="仿宋_GB2312"/>
          <w:kern w:val="0"/>
          <w:sz w:val="32"/>
          <w:szCs w:val="32"/>
          <w:highlight w:val="none"/>
          <w:lang w:val="en-US" w:eastAsia="zh-CN"/>
        </w:rPr>
        <w:t>20</w:t>
      </w:r>
      <w:r>
        <w:rPr>
          <w:rFonts w:hint="eastAsia" w:ascii="Times New Roman" w:hAnsi="Times New Roman" w:eastAsia="仿宋_GB2312" w:cs="仿宋_GB2312"/>
          <w:kern w:val="0"/>
          <w:sz w:val="32"/>
          <w:szCs w:val="32"/>
          <w:highlight w:val="none"/>
          <w:lang w:eastAsia="zh-CN"/>
        </w:rPr>
        <w:t>人。</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2024年基本支出年初预算数为</w:t>
      </w:r>
      <w:r>
        <w:rPr>
          <w:rFonts w:hint="eastAsia" w:ascii="Times New Roman" w:hAnsi="Times New Roman" w:eastAsia="仿宋_GB2312" w:cs="仿宋_GB2312"/>
          <w:kern w:val="0"/>
          <w:sz w:val="32"/>
          <w:szCs w:val="32"/>
          <w:lang w:val="en-US" w:eastAsia="zh-CN"/>
        </w:rPr>
        <w:t>311.17</w:t>
      </w:r>
      <w:r>
        <w:rPr>
          <w:rFonts w:hint="eastAsia" w:ascii="Times New Roman" w:hAnsi="Times New Roman" w:eastAsia="仿宋_GB2312" w:cs="仿宋_GB2312"/>
          <w:kern w:val="0"/>
          <w:sz w:val="32"/>
          <w:szCs w:val="32"/>
          <w:lang w:eastAsia="zh-CN"/>
        </w:rPr>
        <w:t>万元，是指为保障单位机构正常运转、完成日常工作任务而发生的各项支出，包括用于基本工资、津贴补贴等人员经费以及办公费、印刷费、水电费、办公设备购置等日常公用经费。</w:t>
      </w:r>
    </w:p>
    <w:p>
      <w:pPr>
        <w:pStyle w:val="6"/>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3"/>
        <w:keepNext w:val="0"/>
        <w:keepLines w:val="0"/>
        <w:pageBreakBefore w:val="0"/>
        <w:numPr>
          <w:ilvl w:val="0"/>
          <w:numId w:val="0"/>
        </w:numPr>
        <w:kinsoku/>
        <w:wordWrap/>
        <w:overflowPunct/>
        <w:topLinePunct w:val="0"/>
        <w:autoSpaceDE/>
        <w:autoSpaceDN/>
        <w:bidi w:val="0"/>
        <w:adjustRightInd/>
        <w:snapToGrid/>
        <w:spacing w:after="0" w:afterLines="0" w:line="600" w:lineRule="exact"/>
        <w:ind w:firstLine="640" w:firstLineChars="200"/>
        <w:textAlignment w:val="auto"/>
        <w:rPr>
          <w:rFonts w:hint="default"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2024年项目支出年初预算数为</w:t>
      </w:r>
      <w:r>
        <w:rPr>
          <w:rFonts w:hint="eastAsia" w:ascii="Times New Roman" w:hAnsi="Times New Roman" w:eastAsia="仿宋_GB2312" w:cs="仿宋_GB2312"/>
          <w:kern w:val="0"/>
          <w:sz w:val="32"/>
          <w:szCs w:val="32"/>
          <w:lang w:val="en-US" w:eastAsia="zh-CN"/>
        </w:rPr>
        <w:t>168</w:t>
      </w:r>
      <w:r>
        <w:rPr>
          <w:rFonts w:hint="eastAsia" w:ascii="Times New Roman" w:hAnsi="Times New Roman" w:eastAsia="仿宋_GB2312" w:cs="仿宋_GB2312"/>
          <w:kern w:val="0"/>
          <w:sz w:val="32"/>
          <w:szCs w:val="32"/>
          <w:lang w:eastAsia="zh-CN"/>
        </w:rPr>
        <w:t>万元，是指单位为完成特定行政工作任务或事业发展目标而发生的支出，包括有关业务工作经费和运行维护经费。其中，财务人员培训经费</w:t>
      </w:r>
      <w:r>
        <w:rPr>
          <w:rFonts w:hint="eastAsia" w:ascii="Times New Roman" w:hAnsi="Times New Roman" w:eastAsia="仿宋_GB2312" w:cs="仿宋_GB2312"/>
          <w:kern w:val="0"/>
          <w:sz w:val="32"/>
          <w:szCs w:val="32"/>
          <w:lang w:val="en-US" w:eastAsia="zh-CN"/>
        </w:rPr>
        <w:t>0.7</w:t>
      </w:r>
      <w:r>
        <w:rPr>
          <w:rFonts w:hint="eastAsia" w:ascii="Times New Roman" w:hAnsi="Times New Roman" w:eastAsia="仿宋_GB2312" w:cs="仿宋_GB2312"/>
          <w:kern w:val="0"/>
          <w:sz w:val="32"/>
          <w:szCs w:val="32"/>
          <w:lang w:eastAsia="zh-CN"/>
        </w:rPr>
        <w:t>万元和财政信息化运行维护经费</w:t>
      </w:r>
      <w:r>
        <w:rPr>
          <w:rFonts w:hint="eastAsia" w:ascii="Times New Roman" w:hAnsi="Times New Roman" w:eastAsia="仿宋_GB2312" w:cs="仿宋_GB2312"/>
          <w:kern w:val="0"/>
          <w:sz w:val="32"/>
          <w:szCs w:val="32"/>
          <w:lang w:val="en-US" w:eastAsia="zh-CN"/>
        </w:rPr>
        <w:t>83.81</w:t>
      </w:r>
      <w:r>
        <w:rPr>
          <w:rFonts w:hint="eastAsia" w:ascii="Times New Roman" w:hAnsi="Times New Roman" w:eastAsia="仿宋_GB2312" w:cs="仿宋_GB2312"/>
          <w:kern w:val="0"/>
          <w:sz w:val="32"/>
          <w:szCs w:val="32"/>
          <w:lang w:eastAsia="zh-CN"/>
        </w:rPr>
        <w:t>万元。</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 w:hAnsi="仿宋" w:eastAsia="仿宋" w:cs="仿宋"/>
          <w:b w:val="0"/>
          <w:bCs w:val="0"/>
          <w:color w:val="auto"/>
          <w:kern w:val="0"/>
          <w:sz w:val="32"/>
          <w:szCs w:val="32"/>
          <w:u w:val="none"/>
          <w:lang w:val="en-US" w:eastAsia="zh-CN"/>
        </w:rPr>
        <w:t>2024年度</w:t>
      </w:r>
      <w:r>
        <w:rPr>
          <w:rFonts w:hint="eastAsia" w:ascii="仿宋" w:hAnsi="仿宋" w:eastAsia="仿宋" w:cs="仿宋"/>
          <w:b w:val="0"/>
          <w:bCs w:val="0"/>
          <w:color w:val="auto"/>
          <w:kern w:val="0"/>
          <w:sz w:val="32"/>
          <w:szCs w:val="32"/>
          <w:u w:val="none"/>
        </w:rPr>
        <w:t>本部门无政府性基金安排的支出。</w:t>
      </w:r>
    </w:p>
    <w:p>
      <w:pPr>
        <w:pStyle w:val="6"/>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国有资本经营预算支出。</w:t>
      </w:r>
    </w:p>
    <w:p>
      <w:pPr>
        <w:pStyle w:val="6"/>
        <w:keepNext w:val="0"/>
        <w:keepLines w:val="0"/>
        <w:pageBreakBefore w:val="0"/>
        <w:widowControl/>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社会保险基金预算支出。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yellow"/>
        </w:rPr>
      </w:pPr>
      <w:r>
        <w:rPr>
          <w:rFonts w:hint="eastAsia" w:ascii="Times New Roman" w:hAnsi="Times New Roman" w:eastAsia="仿宋_GB2312" w:cs="Times New Roman"/>
          <w:color w:val="000000"/>
          <w:sz w:val="32"/>
          <w:szCs w:val="32"/>
        </w:rPr>
        <w:t>本单位所有支出实行绩效目标管理。纳入</w:t>
      </w:r>
      <w:r>
        <w:rPr>
          <w:rFonts w:hint="eastAsia" w:ascii="Times New Roman" w:hAnsi="Times New Roman" w:eastAsia="仿宋_GB2312" w:cs="Times New Roman"/>
          <w:color w:val="000000"/>
          <w:sz w:val="32"/>
          <w:szCs w:val="32"/>
          <w:lang w:eastAsia="zh-CN"/>
        </w:rPr>
        <w:t>2024</w:t>
      </w:r>
      <w:r>
        <w:rPr>
          <w:rFonts w:hint="eastAsia" w:ascii="Times New Roman" w:hAnsi="Times New Roman" w:eastAsia="仿宋_GB2312" w:cs="Times New Roman"/>
          <w:color w:val="000000"/>
          <w:sz w:val="32"/>
          <w:szCs w:val="32"/>
        </w:rPr>
        <w:t>年单位整体支出绩效目标的金额</w:t>
      </w:r>
      <w:r>
        <w:rPr>
          <w:rFonts w:hint="eastAsia" w:ascii="Times New Roman" w:hAnsi="Times New Roman" w:eastAsia="仿宋_GB2312" w:cs="Times New Roman"/>
          <w:color w:val="000000"/>
          <w:sz w:val="32"/>
          <w:szCs w:val="32"/>
          <w:lang w:val="en-US" w:eastAsia="zh-CN"/>
        </w:rPr>
        <w:t>1088.28</w:t>
      </w:r>
      <w:r>
        <w:rPr>
          <w:rFonts w:hint="eastAsia"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highlight w:val="none"/>
        </w:rPr>
        <w:t>，其中，基本支出</w:t>
      </w:r>
      <w:r>
        <w:rPr>
          <w:rFonts w:hint="eastAsia" w:ascii="Times New Roman" w:hAnsi="Times New Roman" w:eastAsia="仿宋_GB2312" w:cs="Times New Roman"/>
          <w:color w:val="000000"/>
          <w:sz w:val="32"/>
          <w:szCs w:val="32"/>
          <w:highlight w:val="none"/>
          <w:lang w:val="en-US" w:eastAsia="zh-CN"/>
        </w:rPr>
        <w:t>920.28</w:t>
      </w:r>
      <w:r>
        <w:rPr>
          <w:rFonts w:hint="eastAsia" w:ascii="Times New Roman" w:hAnsi="Times New Roman" w:eastAsia="仿宋_GB2312" w:cs="Times New Roman"/>
          <w:color w:val="000000"/>
          <w:sz w:val="32"/>
          <w:szCs w:val="32"/>
          <w:highlight w:val="none"/>
        </w:rPr>
        <w:t>万元，项目支出</w:t>
      </w:r>
      <w:r>
        <w:rPr>
          <w:rFonts w:hint="eastAsia" w:ascii="Times New Roman" w:hAnsi="Times New Roman" w:eastAsia="仿宋_GB2312" w:cs="Times New Roman"/>
          <w:color w:val="000000"/>
          <w:sz w:val="32"/>
          <w:szCs w:val="32"/>
          <w:highlight w:val="none"/>
          <w:lang w:val="en-US" w:eastAsia="zh-CN"/>
        </w:rPr>
        <w:t>168</w:t>
      </w:r>
      <w:r>
        <w:rPr>
          <w:rFonts w:hint="eastAsia"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一般公共预算拨款支出预算</w:t>
      </w:r>
      <w:r>
        <w:rPr>
          <w:rFonts w:hint="eastAsia" w:ascii="Times New Roman" w:hAnsi="Times New Roman" w:eastAsia="仿宋_GB2312" w:cs="Times New Roman"/>
          <w:color w:val="000000"/>
          <w:sz w:val="32"/>
          <w:szCs w:val="32"/>
          <w:highlight w:val="none"/>
          <w:lang w:val="en-US" w:eastAsia="zh-CN"/>
        </w:rPr>
        <w:t>977.22</w:t>
      </w:r>
      <w:r>
        <w:rPr>
          <w:rFonts w:hint="default" w:ascii="Times New Roman" w:hAnsi="Times New Roman" w:eastAsia="仿宋_GB2312" w:cs="Times New Roman"/>
          <w:color w:val="000000"/>
          <w:sz w:val="32"/>
          <w:szCs w:val="32"/>
          <w:highlight w:val="none"/>
        </w:rPr>
        <w:t>万元，其中，一般公共服务支出</w:t>
      </w:r>
      <w:r>
        <w:rPr>
          <w:rFonts w:hint="eastAsia" w:ascii="Times New Roman" w:hAnsi="Times New Roman" w:eastAsia="仿宋_GB2312" w:cs="Times New Roman"/>
          <w:color w:val="000000"/>
          <w:sz w:val="32"/>
          <w:szCs w:val="32"/>
          <w:highlight w:val="none"/>
          <w:lang w:val="en-US" w:eastAsia="zh-CN"/>
        </w:rPr>
        <w:t>403.14</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41.25</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科学技术支出500万元，占比51.17%；</w:t>
      </w:r>
      <w:r>
        <w:rPr>
          <w:rFonts w:hint="default" w:ascii="Times New Roman" w:hAnsi="Times New Roman" w:eastAsia="仿宋_GB2312" w:cs="Times New Roman"/>
          <w:color w:val="000000"/>
          <w:sz w:val="32"/>
          <w:szCs w:val="32"/>
          <w:highlight w:val="none"/>
        </w:rPr>
        <w:t>社会保障和就业支出</w:t>
      </w:r>
      <w:r>
        <w:rPr>
          <w:rFonts w:hint="eastAsia" w:ascii="Times New Roman" w:hAnsi="Times New Roman" w:eastAsia="仿宋_GB2312" w:cs="Times New Roman"/>
          <w:color w:val="000000"/>
          <w:sz w:val="32"/>
          <w:szCs w:val="32"/>
          <w:highlight w:val="none"/>
          <w:lang w:val="en-US" w:eastAsia="zh-CN"/>
        </w:rPr>
        <w:t>26.72</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2.73</w:t>
      </w:r>
      <w:r>
        <w:rPr>
          <w:rFonts w:hint="default" w:ascii="Times New Roman" w:hAnsi="Times New Roman" w:eastAsia="仿宋_GB2312" w:cs="Times New Roman"/>
          <w:color w:val="000000"/>
          <w:sz w:val="32"/>
          <w:szCs w:val="32"/>
          <w:highlight w:val="none"/>
        </w:rPr>
        <w:t>%；卫生健康支出</w:t>
      </w:r>
      <w:r>
        <w:rPr>
          <w:rFonts w:hint="eastAsia" w:ascii="Times New Roman" w:hAnsi="Times New Roman" w:eastAsia="仿宋_GB2312" w:cs="Times New Roman"/>
          <w:color w:val="000000"/>
          <w:sz w:val="32"/>
          <w:szCs w:val="32"/>
          <w:highlight w:val="none"/>
          <w:lang w:val="en-US" w:eastAsia="zh-CN"/>
        </w:rPr>
        <w:t>18.04</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1.85</w:t>
      </w:r>
      <w:r>
        <w:rPr>
          <w:rFonts w:hint="default" w:ascii="Times New Roman" w:hAnsi="Times New Roman" w:eastAsia="仿宋_GB2312" w:cs="Times New Roman"/>
          <w:color w:val="000000"/>
          <w:sz w:val="32"/>
          <w:szCs w:val="32"/>
          <w:highlight w:val="none"/>
        </w:rPr>
        <w:t>%；农林水支出</w:t>
      </w:r>
      <w:r>
        <w:rPr>
          <w:rFonts w:hint="eastAsia" w:ascii="Times New Roman" w:hAnsi="Times New Roman" w:eastAsia="仿宋_GB2312" w:cs="Times New Roman"/>
          <w:color w:val="000000"/>
          <w:sz w:val="32"/>
          <w:szCs w:val="32"/>
          <w:highlight w:val="none"/>
          <w:lang w:val="en-US" w:eastAsia="zh-CN"/>
        </w:rPr>
        <w:t>0.71</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0.07</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商业服务业等支出</w:t>
      </w:r>
      <w:r>
        <w:rPr>
          <w:rFonts w:hint="eastAsia" w:ascii="Times New Roman" w:hAnsi="Times New Roman" w:eastAsia="仿宋_GB2312" w:cs="Times New Roman"/>
          <w:color w:val="000000"/>
          <w:sz w:val="32"/>
          <w:szCs w:val="32"/>
          <w:highlight w:val="none"/>
          <w:lang w:val="en-US" w:eastAsia="zh-CN"/>
        </w:rPr>
        <w:t>2.00</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0.2</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住房保障支出</w:t>
      </w:r>
      <w:r>
        <w:rPr>
          <w:rFonts w:hint="eastAsia" w:ascii="Times New Roman" w:hAnsi="Times New Roman" w:eastAsia="仿宋_GB2312" w:cs="Times New Roman"/>
          <w:color w:val="000000"/>
          <w:sz w:val="32"/>
          <w:szCs w:val="32"/>
          <w:highlight w:val="none"/>
          <w:lang w:val="en-US" w:eastAsia="zh-CN"/>
        </w:rPr>
        <w:t>26.61</w:t>
      </w:r>
      <w:r>
        <w:rPr>
          <w:rFonts w:hint="default" w:ascii="Times New Roman" w:hAnsi="Times New Roman" w:eastAsia="仿宋_GB2312" w:cs="Times New Roman"/>
          <w:color w:val="000000"/>
          <w:sz w:val="32"/>
          <w:szCs w:val="32"/>
          <w:highlight w:val="none"/>
        </w:rPr>
        <w:t>万元，占比</w:t>
      </w:r>
      <w:r>
        <w:rPr>
          <w:rFonts w:hint="eastAsia" w:ascii="Times New Roman" w:hAnsi="Times New Roman" w:eastAsia="仿宋_GB2312" w:cs="Times New Roman"/>
          <w:color w:val="000000"/>
          <w:sz w:val="32"/>
          <w:szCs w:val="32"/>
          <w:highlight w:val="none"/>
          <w:lang w:val="en-US" w:eastAsia="zh-CN"/>
        </w:rPr>
        <w:t>2.73</w:t>
      </w:r>
      <w:r>
        <w:rPr>
          <w:rFonts w:hint="default" w:ascii="Times New Roman" w:hAnsi="Times New Roman" w:eastAsia="仿宋_GB2312" w:cs="Times New Roman"/>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机关运行经费一般公共预算</w:t>
      </w:r>
      <w:r>
        <w:rPr>
          <w:rFonts w:hint="eastAsia" w:ascii="Times New Roman" w:hAnsi="Times New Roman" w:eastAsia="仿宋_GB2312" w:cs="Times New Roman"/>
          <w:color w:val="000000"/>
          <w:sz w:val="32"/>
          <w:szCs w:val="32"/>
          <w:highlight w:val="none"/>
          <w:lang w:val="en-US" w:eastAsia="zh-CN"/>
        </w:rPr>
        <w:t>48.82</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val="en-US" w:eastAsia="zh-CN"/>
        </w:rPr>
        <w:t>全年支出44.43万元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“三公”经费预算数</w:t>
      </w: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全年支出6万元</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培训费预算8万元</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全年支出0.7万元</w:t>
      </w:r>
      <w:r>
        <w:rPr>
          <w:rFonts w:hint="default" w:ascii="Times New Roman" w:hAnsi="Times New Roman" w:eastAsia="仿宋_GB2312" w:cs="Times New Roman"/>
          <w:color w:val="000000"/>
          <w:sz w:val="32"/>
          <w:szCs w:val="32"/>
          <w:highlight w:val="none"/>
        </w:rPr>
        <w:t>，开展4次培训，人数480人，内容为部门预算编制培训、部门决算编制培训、绩效评价培训、财政一体化培训。</w:t>
      </w:r>
    </w:p>
    <w:p>
      <w:pPr>
        <w:pStyle w:val="6"/>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存在</w:t>
      </w:r>
      <w:r>
        <w:rPr>
          <w:rFonts w:hint="eastAsia" w:ascii="仿宋_GB2312" w:hAnsi="仿宋_GB2312" w:eastAsia="仿宋_GB2312" w:cs="仿宋_GB2312"/>
          <w:i w:val="0"/>
          <w:iCs w:val="0"/>
          <w:caps w:val="0"/>
          <w:color w:val="000000"/>
          <w:spacing w:val="0"/>
          <w:sz w:val="32"/>
          <w:szCs w:val="32"/>
          <w:shd w:val="clear" w:fill="FFFFFF"/>
        </w:rPr>
        <w:t>绩效指标设置的精准性、合理性上有待进一步改善。</w:t>
      </w:r>
      <w:r>
        <w:rPr>
          <w:rFonts w:hint="eastAsia" w:ascii="仿宋_GB2312" w:hAnsi="仿宋_GB2312" w:eastAsia="仿宋_GB2312" w:cs="仿宋_GB2312"/>
          <w:i w:val="0"/>
          <w:iCs w:val="0"/>
          <w:caps w:val="0"/>
          <w:color w:val="333333"/>
          <w:spacing w:val="0"/>
          <w:sz w:val="32"/>
          <w:szCs w:val="32"/>
          <w:shd w:val="clear" w:fill="FFFFFF"/>
        </w:rPr>
        <w:t>预算绩效自评价结果运用不充分</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不能推进长效优化发展</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建立健全预算绩效管理机制</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定岗定责，加强人员培训，解决机制困境，</w:t>
      </w:r>
      <w:r>
        <w:rPr>
          <w:rFonts w:hint="eastAsia" w:ascii="仿宋_GB2312" w:hAnsi="仿宋_GB2312" w:eastAsia="仿宋_GB2312" w:cs="仿宋_GB2312"/>
          <w:i w:val="0"/>
          <w:iCs w:val="0"/>
          <w:caps w:val="0"/>
          <w:color w:val="333333"/>
          <w:spacing w:val="0"/>
          <w:sz w:val="32"/>
          <w:szCs w:val="32"/>
          <w:shd w:val="clear" w:fill="FFFFFF"/>
          <w:lang w:val="en-US" w:eastAsia="zh-CN"/>
        </w:rPr>
        <w:t>本</w:t>
      </w:r>
      <w:r>
        <w:rPr>
          <w:rFonts w:hint="eastAsia" w:ascii="仿宋_GB2312" w:hAnsi="仿宋_GB2312" w:eastAsia="仿宋_GB2312" w:cs="仿宋_GB2312"/>
          <w:i w:val="0"/>
          <w:iCs w:val="0"/>
          <w:caps w:val="0"/>
          <w:color w:val="333333"/>
          <w:spacing w:val="0"/>
          <w:sz w:val="32"/>
          <w:szCs w:val="32"/>
          <w:shd w:val="clear" w:fill="FFFFFF"/>
        </w:rPr>
        <w:t>单位虽然面临诸多问题和挑战，但仍要努力适应预算体制变革，以积极的态度对待预算绩效管理的新要求，做好预算绩效管理工作。通过不断提高单位人员素质，建立健全管理机制等方式，实现财政预算绩效工作“重绩效、讲绩效、</w:t>
      </w:r>
      <w:r>
        <w:rPr>
          <w:rFonts w:hint="eastAsia" w:ascii="仿宋_GB2312" w:hAnsi="仿宋_GB2312" w:eastAsia="仿宋_GB2312" w:cs="仿宋_GB2312"/>
          <w:i w:val="0"/>
          <w:iCs w:val="0"/>
          <w:caps w:val="0"/>
          <w:color w:val="333333"/>
          <w:spacing w:val="0"/>
          <w:sz w:val="32"/>
          <w:szCs w:val="32"/>
          <w:highlight w:val="none"/>
          <w:shd w:val="clear" w:fill="FFFFFF"/>
        </w:rPr>
        <w:t>抓绩效、用绩效”的目标，推动资金使用提质增效。优化项目支出报销流程、明确时限要求，加强财务与业务部门协同，确保财政资金规范高效使用。</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本</w:t>
      </w:r>
      <w:r>
        <w:rPr>
          <w:rFonts w:hint="eastAsia" w:ascii="仿宋_GB2312" w:hAnsi="仿宋_GB2312" w:eastAsia="仿宋_GB2312" w:cs="仿宋_GB2312"/>
          <w:i w:val="0"/>
          <w:iCs w:val="0"/>
          <w:caps w:val="0"/>
          <w:color w:val="333333"/>
          <w:spacing w:val="0"/>
          <w:sz w:val="32"/>
          <w:szCs w:val="32"/>
          <w:shd w:val="clear" w:fill="FFFFFF"/>
        </w:rPr>
        <w:t>单位的部门整体支出绩效自评报告和表格按要求及时在单位门户网上公开，按照自评的结果对照各项业务工作及时分析和总结，在来年的预算安排和资金分配、使用上有所调整，以便于更好地发挥资金的使用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2"/>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pStyle w:val="2"/>
        <w:rPr>
          <w:rFonts w:hint="eastAsia" w:ascii="Times New Roman" w:hAnsi="Times New Roman" w:eastAsia="仿宋_GB2312" w:cs="Times New Roman"/>
          <w:sz w:val="32"/>
          <w:szCs w:val="32"/>
          <w:lang w:val="en-US" w:eastAsia="zh-CN"/>
        </w:rPr>
      </w:pPr>
    </w:p>
    <w:p>
      <w:pPr>
        <w:rPr>
          <w:rFonts w:hint="eastAsia" w:ascii="Times New Roman" w:hAnsi="Times New Roman" w:eastAsia="仿宋_GB2312" w:cs="Times New Roman"/>
          <w:sz w:val="32"/>
          <w:szCs w:val="32"/>
          <w:lang w:val="en-US" w:eastAsia="zh-CN"/>
        </w:rPr>
      </w:pPr>
    </w:p>
    <w:p>
      <w:pPr>
        <w:pStyle w:val="2"/>
      </w:pPr>
    </w:p>
    <w:tbl>
      <w:tblPr>
        <w:tblStyle w:val="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58"/>
        <w:gridCol w:w="2025"/>
        <w:gridCol w:w="1001"/>
        <w:gridCol w:w="997"/>
        <w:gridCol w:w="1180"/>
        <w:gridCol w:w="1267"/>
        <w:gridCol w:w="1150"/>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附件1</w:t>
            </w:r>
          </w:p>
        </w:tc>
        <w:tc>
          <w:tcPr>
            <w:tcW w:w="8730" w:type="dxa"/>
            <w:gridSpan w:val="7"/>
            <w:tcBorders>
              <w:top w:val="nil"/>
              <w:left w:val="nil"/>
              <w:bottom w:val="nil"/>
              <w:right w:val="nil"/>
            </w:tcBorders>
            <w:shd w:val="clear" w:color="auto" w:fill="auto"/>
            <w:vAlign w:val="center"/>
          </w:tcPr>
          <w:p>
            <w:pPr>
              <w:jc w:val="left"/>
              <w:rPr>
                <w:rFonts w:hint="eastAsia"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021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2024年度部门整体支出绩效评价基础数据表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财政供养人员情况(人)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4"/>
                <w:szCs w:val="24"/>
                <w:u w:val="none"/>
                <w:lang w:val="en-US" w:eastAsia="zh-CN"/>
              </w:rPr>
            </w:pPr>
            <w:r>
              <w:rPr>
                <w:rFonts w:hint="eastAsia" w:ascii="仿宋_GB2312" w:hAnsi="Arial" w:eastAsia="仿宋_GB2312" w:cs="仿宋_GB2312"/>
                <w:i w:val="0"/>
                <w:iCs w:val="0"/>
                <w:color w:val="000000"/>
                <w:sz w:val="24"/>
                <w:szCs w:val="24"/>
                <w:u w:val="none"/>
                <w:lang w:val="en-US" w:eastAsia="zh-CN"/>
              </w:rPr>
              <w:t>13.55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4"/>
                <w:szCs w:val="24"/>
                <w:u w:val="none"/>
                <w:lang w:val="en-US"/>
              </w:rPr>
            </w:pPr>
            <w:r>
              <w:rPr>
                <w:rFonts w:hint="eastAsia" w:ascii="仿宋_GB2312" w:hAnsi="Arial" w:eastAsia="仿宋_GB2312" w:cs="仿宋_GB2312"/>
                <w:i w:val="0"/>
                <w:iCs w:val="0"/>
                <w:color w:val="000000"/>
                <w:kern w:val="0"/>
                <w:sz w:val="24"/>
                <w:szCs w:val="24"/>
                <w:u w:val="none"/>
                <w:lang w:val="en-US" w:eastAsia="zh-CN" w:bidi="ar"/>
              </w:rPr>
              <w:t>17.34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4"/>
                <w:szCs w:val="24"/>
                <w:u w:val="none"/>
                <w:lang w:val="en-US"/>
              </w:rPr>
            </w:pPr>
            <w:r>
              <w:rPr>
                <w:rFonts w:hint="eastAsia" w:ascii="仿宋_GB2312" w:hAnsi="Arial" w:eastAsia="仿宋_GB2312" w:cs="仿宋_GB2312"/>
                <w:i w:val="0"/>
                <w:iCs w:val="0"/>
                <w:color w:val="000000"/>
                <w:kern w:val="0"/>
                <w:sz w:val="24"/>
                <w:szCs w:val="24"/>
                <w:u w:val="none"/>
                <w:lang w:val="en-US" w:eastAsia="zh-CN" w:bidi="ar"/>
              </w:rPr>
              <w:t>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6.00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7.50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4、其他交通费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7.55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9.84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9.84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105.84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168.00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iCs w:val="0"/>
                <w:color w:val="000000"/>
                <w:sz w:val="24"/>
                <w:szCs w:val="24"/>
                <w:u w:val="none"/>
                <w:lang w:val="en-US"/>
              </w:rPr>
            </w:pPr>
            <w:r>
              <w:rPr>
                <w:rFonts w:hint="eastAsia" w:ascii="仿宋_GB2312" w:hAnsi="Arial" w:eastAsia="仿宋_GB2312" w:cs="仿宋_GB2312"/>
                <w:i w:val="0"/>
                <w:iCs w:val="0"/>
                <w:color w:val="000000"/>
                <w:kern w:val="0"/>
                <w:sz w:val="24"/>
                <w:szCs w:val="24"/>
                <w:u w:val="none"/>
                <w:lang w:val="en-US" w:eastAsia="zh-CN" w:bidi="ar"/>
              </w:rPr>
              <w:t>84.51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1.财政信息化运行维护经费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100.44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160.00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83.81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2.财会人员培训</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5.40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8.00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40.19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48.82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44.43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14.23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15.00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3.36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8.28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文印费、交通费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13.19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15.84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13.84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其它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9.41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9.70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4.50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6.00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部门基本支出预算调整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5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楼堂馆所控制情况</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(2024年完工项目)</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批复规模(m</w:t>
            </w:r>
            <w:r>
              <w:rPr>
                <w:rFonts w:ascii="方正书宋_GBK" w:hAnsi="方正书宋_GBK" w:eastAsia="方正书宋_GBK" w:cs="方正书宋_GBK"/>
                <w:i w:val="0"/>
                <w:iCs w:val="0"/>
                <w:color w:val="000000"/>
                <w:kern w:val="0"/>
                <w:sz w:val="24"/>
                <w:szCs w:val="24"/>
                <w:u w:val="none"/>
                <w:lang w:val="en-US" w:eastAsia="zh-CN" w:bidi="ar"/>
              </w:rPr>
              <w:t>²</w:t>
            </w:r>
            <w:r>
              <w:rPr>
                <w:rFonts w:hint="eastAsia" w:ascii="仿宋_GB2312" w:hAnsi="Arial" w:eastAsia="仿宋_GB2312" w:cs="仿宋_GB2312"/>
                <w:i w:val="0"/>
                <w:iCs w:val="0"/>
                <w:color w:val="000000"/>
                <w:kern w:val="0"/>
                <w:sz w:val="24"/>
                <w:szCs w:val="24"/>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实际规模(m</w:t>
            </w:r>
            <w:r>
              <w:rPr>
                <w:rFonts w:ascii="方正书宋_GBK" w:hAnsi="方正书宋_GBK" w:eastAsia="方正书宋_GBK" w:cs="方正书宋_GBK"/>
                <w:i w:val="0"/>
                <w:iCs w:val="0"/>
                <w:color w:val="000000"/>
                <w:kern w:val="0"/>
                <w:sz w:val="24"/>
                <w:szCs w:val="24"/>
                <w:u w:val="none"/>
                <w:lang w:val="en-US" w:eastAsia="zh-CN" w:bidi="ar"/>
              </w:rPr>
              <w:t>²</w:t>
            </w:r>
            <w:r>
              <w:rPr>
                <w:rFonts w:hint="eastAsia" w:ascii="仿宋_GB2312" w:hAnsi="Arial" w:eastAsia="仿宋_GB2312" w:cs="仿宋_GB2312"/>
                <w:i w:val="0"/>
                <w:iCs w:val="0"/>
                <w:color w:val="000000"/>
                <w:kern w:val="0"/>
                <w:sz w:val="24"/>
                <w:szCs w:val="24"/>
                <w:u w:val="none"/>
                <w:lang w:val="en-US" w:eastAsia="zh-CN" w:bidi="ar"/>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规模控制率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预算投资</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实际投资</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21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 说明：“项目支出”需要填报基本支出以外的所有项目支出情况，“公用经费”填报基本支出中的一般商品和服务支出。</w:t>
            </w:r>
          </w:p>
        </w:tc>
      </w:tr>
    </w:tbl>
    <w:p/>
    <w:p>
      <w:pPr>
        <w:pStyle w:val="2"/>
      </w:pPr>
    </w:p>
    <w:p/>
    <w:tbl>
      <w:tblPr>
        <w:tblStyle w:val="4"/>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1215"/>
        <w:gridCol w:w="1337"/>
        <w:gridCol w:w="1919"/>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0923"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区级预算部门名称</w:t>
            </w:r>
          </w:p>
        </w:tc>
        <w:tc>
          <w:tcPr>
            <w:tcW w:w="987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岳阳市屈原管理区财政局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年度预</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算申请</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(万元)</w:t>
            </w: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5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年度资金总额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471.8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1088.43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1088.28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按收入性质分：</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其中：   一般公共预算：977.22</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其中：基本支出：920.28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30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政府性基金拨款：0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项目支出：168.00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上级补助收入：0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  纳入专户管理的非税收入拨款：0</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其他资金：111.06</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年度总体</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目标</w:t>
            </w: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预期目标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贯彻执行国家财税法律法规和方针政策，主管全区财政工作；运用财政政策，制定财政综合预算方案；拟订财政管理体制。贯彻执行国家及上级财政有关预算、税收、财务会计等相关法律法规，拟定和执行乡镇办财政受理体制及市与园区融资平台的财政管理办法；负责区级财政收支管理、非税收入管理、国库集中收付管理、国有资产管理、绩效评估管理、财政系统信息化建设、临时机关会计集中核算工作、投资评审相关工作、社保工作、政府债务管理工作、村级财务和村级财政性项目资金监管工作；区政府交办的其工作。</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1、大力实施财源建设工程</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2、完善财政支农政策，全面推进乡村振兴</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3、坚持尽力而为、量力而行，持续保障和改善民生</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4、注重系统集成、协同高效，持续深化财税改革</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5、进一步强化财政运行管理，全面推进法治财政建设</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6、持续加强政府债务管理，牢牢守住风险底线</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7、牢固树立政治机关意识，全面加强机关党的建设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绩效指标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一级指标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产出指标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(50分)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行政事业单位使用电子票据率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信息一体化、集中支付系统正常运行率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资金给付及时率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按预算执行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效益指标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(30分)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经济效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工程结算审核节约投资金额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社会效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预算单位集中支付覆盖率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生态效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支持生态保护：湘江流域保护与治理、农村环境综合整治等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可持续影</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响指标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持续加大民生投入，兜实兜牢民生底线，提高人民群众的幸福指数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≥15年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满意度</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(10分)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服务对象</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满意度指标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预算单位满意度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Arial" w:eastAsia="仿宋_GB2312" w:cs="仿宋_GB2312"/>
                <w:i w:val="0"/>
                <w:iCs w:val="0"/>
                <w:color w:val="000000"/>
                <w:sz w:val="22"/>
                <w:szCs w:val="22"/>
                <w:u w:val="none"/>
              </w:rPr>
            </w:pPr>
          </w:p>
        </w:tc>
      </w:tr>
    </w:tbl>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tbl>
      <w:tblPr>
        <w:tblStyle w:val="4"/>
        <w:tblW w:w="10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185"/>
        <w:gridCol w:w="1230"/>
        <w:gridCol w:w="192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15" w:type="dxa"/>
            <w:gridSpan w:val="9"/>
            <w:tcBorders>
              <w:top w:val="nil"/>
              <w:left w:val="nil"/>
              <w:bottom w:val="nil"/>
              <w:right w:val="nil"/>
            </w:tcBorders>
            <w:shd w:val="clear" w:color="auto" w:fill="auto"/>
            <w:vAlign w:val="top"/>
          </w:tcPr>
          <w:p>
            <w:pPr>
              <w:keepNext w:val="0"/>
              <w:keepLines w:val="0"/>
              <w:widowControl/>
              <w:suppressLineNumbers w:val="0"/>
              <w:jc w:val="left"/>
              <w:textAlignment w:val="top"/>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附 件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1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项目支</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出名称</w:t>
            </w:r>
          </w:p>
        </w:tc>
        <w:tc>
          <w:tcPr>
            <w:tcW w:w="97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财政信息化运行维护经费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主管部门</w:t>
            </w:r>
          </w:p>
        </w:tc>
        <w:tc>
          <w:tcPr>
            <w:tcW w:w="5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岳阳市屈原管理区财政局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实施单位</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岳阳市屈原管理区财政局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项目资金</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(万元)</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年初</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年度资金总额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其中：当年财政拨款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160.00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83.81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52.38%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上年结转资金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年度总体</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目标</w:t>
            </w:r>
          </w:p>
        </w:tc>
        <w:tc>
          <w:tcPr>
            <w:tcW w:w="5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预期目标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4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通过财政信息化建设及信息化运维，更好地服务于全区财务工作</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完成财政信息化建设及信息化运维工作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一级指标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二级指标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偏差原因分析</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产出指标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(50分)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用户使用数量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≥50家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数据共享度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数据更新及时性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财政信息化运行维护经费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≤160万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效益指标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(30分)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经济效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提高办事效率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社会效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基层财务信息系统建设覆盖率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生态效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更好地服务全区财务工作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可持续影</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响指标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财政信息化系统平稳运行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满意度指标(10分)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服务对象</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满意度指标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1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备注： 一个一级项目支出一张表。如，业务工作经费，运行维护经费，其他事业发展类资金…各一张表.</w:t>
            </w:r>
          </w:p>
        </w:tc>
      </w:tr>
    </w:tbl>
    <w:p/>
    <w:tbl>
      <w:tblPr>
        <w:tblStyle w:val="4"/>
        <w:tblW w:w="11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315"/>
        <w:gridCol w:w="855"/>
        <w:gridCol w:w="330"/>
        <w:gridCol w:w="1305"/>
        <w:gridCol w:w="1815"/>
        <w:gridCol w:w="1140"/>
        <w:gridCol w:w="1035"/>
        <w:gridCol w:w="1155"/>
        <w:gridCol w:w="180"/>
        <w:gridCol w:w="825"/>
        <w:gridCol w:w="990"/>
        <w:gridCol w:w="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375" w:hRule="atLeast"/>
        </w:trPr>
        <w:tc>
          <w:tcPr>
            <w:tcW w:w="10755" w:type="dxa"/>
            <w:gridSpan w:val="12"/>
            <w:tcBorders>
              <w:top w:val="nil"/>
              <w:left w:val="nil"/>
              <w:bottom w:val="nil"/>
              <w:right w:val="nil"/>
            </w:tcBorders>
            <w:shd w:val="clear" w:color="auto" w:fill="auto"/>
            <w:vAlign w:val="top"/>
          </w:tcPr>
          <w:p>
            <w:pPr>
              <w:keepNext w:val="0"/>
              <w:keepLines w:val="0"/>
              <w:widowControl/>
              <w:suppressLineNumbers w:val="0"/>
              <w:jc w:val="left"/>
              <w:textAlignment w:val="top"/>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附 件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600" w:hRule="atLeast"/>
        </w:trPr>
        <w:tc>
          <w:tcPr>
            <w:tcW w:w="1075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2024年度项目支出绩效自评表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54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项目支</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出名称</w:t>
            </w:r>
          </w:p>
        </w:tc>
        <w:tc>
          <w:tcPr>
            <w:tcW w:w="96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财会人员培训经费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60" w:hRule="atLeast"/>
        </w:trPr>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主管部门</w:t>
            </w:r>
          </w:p>
        </w:tc>
        <w:tc>
          <w:tcPr>
            <w:tcW w:w="5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岳阳市屈原管理区财政局</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实施单位</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岳阳市屈原管理区财政局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540" w:hRule="atLeast"/>
        </w:trPr>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项目资金</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(万元)</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年初</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预算数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预算数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全年</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执行数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执行率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年度资金总额</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8.00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0.70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其中：当年财政拨款</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8.00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8.00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 xml:space="preserve">0.70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8.75%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上年结转资金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其他资金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300" w:hRule="atLeast"/>
        </w:trPr>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年度总体</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目标</w:t>
            </w:r>
          </w:p>
        </w:tc>
        <w:tc>
          <w:tcPr>
            <w:tcW w:w="5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预期目标</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96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5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通过培训，进一步提升全区财务人员业务水平，更好地服务于全区财务工作。</w:t>
            </w:r>
          </w:p>
        </w:tc>
        <w:tc>
          <w:tcPr>
            <w:tcW w:w="41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1、开展对全区财务人员培训4批次(预算编制培训、部门决算编制培训等)；</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2、组织单位工作人员参加省市相关业务培训。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500" w:hRule="atLeast"/>
        </w:trPr>
        <w:tc>
          <w:tcPr>
            <w:tcW w:w="11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绩效指标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一级指标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二级指标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三级指标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年度</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指标值</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实际</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完成值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分值</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得分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偏差原因分析</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产出指标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(50分)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数量指标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财务业务培训次数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4次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质量指标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培训通过率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时效指标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培训完成时间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2024年12月之前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成本指标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财务费</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220元/次</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效益指标</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(30分)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经济效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降低培训成本</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4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社会效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财务人员素质提高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12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生态效</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益指标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通过培训，财务人员业务素质、服务态度都得到提高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82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可持续影</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响指标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财务人员学习积极性及业务水平得到提高</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600" w:hRule="atLeast"/>
        </w:trPr>
        <w:tc>
          <w:tcPr>
            <w:tcW w:w="11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仿宋_GB2312" w:hAnsi="Arial" w:eastAsia="仿宋_GB2312" w:cs="仿宋_GB2312"/>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满意度指标(10分)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服务对象</w:t>
            </w:r>
            <w:r>
              <w:rPr>
                <w:rFonts w:hint="eastAsia" w:ascii="仿宋_GB2312" w:hAnsi="Arial" w:eastAsia="仿宋_GB2312" w:cs="仿宋_GB2312"/>
                <w:i w:val="0"/>
                <w:iCs w:val="0"/>
                <w:color w:val="000000"/>
                <w:kern w:val="0"/>
                <w:sz w:val="22"/>
                <w:szCs w:val="22"/>
                <w:u w:val="none"/>
                <w:lang w:val="en-US" w:eastAsia="zh-CN" w:bidi="ar"/>
              </w:rPr>
              <w:br w:type="textWrapping"/>
            </w:r>
            <w:r>
              <w:rPr>
                <w:rFonts w:hint="eastAsia" w:ascii="仿宋_GB2312" w:hAnsi="Arial" w:eastAsia="仿宋_GB2312" w:cs="仿宋_GB2312"/>
                <w:i w:val="0"/>
                <w:iCs w:val="0"/>
                <w:color w:val="000000"/>
                <w:kern w:val="0"/>
                <w:sz w:val="22"/>
                <w:szCs w:val="22"/>
                <w:u w:val="none"/>
                <w:lang w:val="en-US" w:eastAsia="zh-CN" w:bidi="ar"/>
              </w:rPr>
              <w:t>满意度指标</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培训对象满意度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340" w:hRule="atLeast"/>
        </w:trPr>
        <w:tc>
          <w:tcPr>
            <w:tcW w:w="7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总分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100</w:t>
            </w:r>
          </w:p>
        </w:tc>
        <w:tc>
          <w:tcPr>
            <w:tcW w:w="1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90.9</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480" w:hRule="atLeast"/>
        </w:trPr>
        <w:tc>
          <w:tcPr>
            <w:tcW w:w="10755"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2"/>
                <w:szCs w:val="22"/>
                <w:u w:val="none"/>
              </w:rPr>
            </w:pPr>
            <w:r>
              <w:rPr>
                <w:rFonts w:hint="eastAsia" w:ascii="仿宋_GB2312" w:hAnsi="Arial" w:eastAsia="仿宋_GB2312" w:cs="仿宋_GB2312"/>
                <w:i w:val="0"/>
                <w:iCs w:val="0"/>
                <w:color w:val="000000"/>
                <w:kern w:val="0"/>
                <w:sz w:val="22"/>
                <w:szCs w:val="22"/>
                <w:u w:val="none"/>
                <w:lang w:val="en-US" w:eastAsia="zh-CN" w:bidi="ar"/>
              </w:rPr>
              <w:t>备注： 一个一级项目支出一张表。如，业务工作经费，运行维护经费，其他事业发展类资金…各一张表.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375" w:hRule="atLeast"/>
        </w:trPr>
        <w:tc>
          <w:tcPr>
            <w:tcW w:w="10755" w:type="dxa"/>
            <w:gridSpan w:val="12"/>
            <w:tcBorders>
              <w:top w:val="nil"/>
              <w:left w:val="nil"/>
              <w:bottom w:val="nil"/>
              <w:right w:val="nil"/>
            </w:tcBorders>
            <w:shd w:val="clear" w:color="auto" w:fill="auto"/>
            <w:vAlign w:val="top"/>
          </w:tcPr>
          <w:p>
            <w:pPr>
              <w:keepNext w:val="0"/>
              <w:keepLines w:val="0"/>
              <w:widowControl/>
              <w:suppressLineNumbers w:val="0"/>
              <w:jc w:val="left"/>
              <w:textAlignment w:val="top"/>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附 件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0" w:type="dxa"/>
          <w:trHeight w:val="780" w:hRule="atLeast"/>
        </w:trPr>
        <w:tc>
          <w:tcPr>
            <w:tcW w:w="1075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部门整体支出绩效自评工作考核评分表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一级</w:t>
            </w:r>
            <w:r>
              <w:rPr>
                <w:rFonts w:hint="eastAsia" w:ascii="仿宋_GB2312" w:hAnsi="Arial" w:eastAsia="仿宋_GB2312" w:cs="仿宋_GB2312"/>
                <w:b/>
                <w:bCs/>
                <w:i w:val="0"/>
                <w:iCs w:val="0"/>
                <w:color w:val="000000"/>
                <w:kern w:val="0"/>
                <w:sz w:val="24"/>
                <w:szCs w:val="24"/>
                <w:u w:val="none"/>
                <w:lang w:val="en-US" w:eastAsia="zh-CN" w:bidi="ar"/>
              </w:rPr>
              <w:br w:type="textWrapping"/>
            </w:r>
            <w:r>
              <w:rPr>
                <w:rFonts w:hint="eastAsia" w:ascii="仿宋_GB2312" w:hAnsi="Arial" w:eastAsia="仿宋_GB2312" w:cs="仿宋_GB2312"/>
                <w:b/>
                <w:bCs/>
                <w:i w:val="0"/>
                <w:iCs w:val="0"/>
                <w:color w:val="000000"/>
                <w:kern w:val="0"/>
                <w:sz w:val="24"/>
                <w:szCs w:val="24"/>
                <w:u w:val="none"/>
                <w:lang w:val="en-US" w:eastAsia="zh-CN" w:bidi="ar"/>
              </w:rPr>
              <w:t>指标</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二级指标</w:t>
            </w:r>
          </w:p>
        </w:tc>
        <w:tc>
          <w:tcPr>
            <w:tcW w:w="6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评分标准</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b/>
                <w:bCs/>
                <w:i w:val="0"/>
                <w:iCs w:val="0"/>
                <w:color w:val="000000"/>
                <w:sz w:val="24"/>
                <w:szCs w:val="24"/>
                <w:u w:val="none"/>
              </w:rPr>
            </w:pPr>
            <w:r>
              <w:rPr>
                <w:rFonts w:hint="eastAsia" w:ascii="仿宋_GB2312" w:hAnsi="Arial" w:eastAsia="仿宋_GB2312" w:cs="仿宋_GB2312"/>
                <w:b/>
                <w:bCs/>
                <w:i w:val="0"/>
                <w:iCs w:val="0"/>
                <w:color w:val="000000"/>
                <w:kern w:val="0"/>
                <w:sz w:val="24"/>
                <w:szCs w:val="24"/>
                <w:u w:val="none"/>
                <w:lang w:val="en-US" w:eastAsia="zh-CN" w:bidi="ar"/>
              </w:rPr>
              <w:t>所需佐证材料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布置</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工作</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10分</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自评通知</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(8分)</w:t>
            </w:r>
          </w:p>
        </w:tc>
        <w:tc>
          <w:tcPr>
            <w:tcW w:w="6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领导重视并部署工作，明确部门预算绩效主体责任，加力转变“绩效是财政部门的事，评价是财务人员的事”的观念，与项目无直接关联的情况下，财务人员不得主导确定项目数量、质量、社会效益等绩效指标，让部门预算绩效回归项目业务本源的，得4分，否则不得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2.明确部门内部按照“谁花钱，谁负责”的原则，确定绩效自评和部门评价实施股室，评价结果及整改措施必须经业务主管部门负责人签字，做到“项目分的清，责任压的实”的得4分，否则不得分。</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领导部署工作相关资料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工作小组</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(2分)</w:t>
            </w:r>
          </w:p>
        </w:tc>
        <w:tc>
          <w:tcPr>
            <w:tcW w:w="69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成立绩效自评工作小组的得2分，否则不得分。</w:t>
            </w:r>
          </w:p>
        </w:tc>
        <w:tc>
          <w:tcPr>
            <w:tcW w:w="2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本部门预算绩效管理领导小组/绩效评价工作小组有关文件盖章的电子版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实施</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评价</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20分</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单位自查</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(10分)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区级预算部门本级和所属单位都要开展绩效自查；以上各项每发现一个单位没有做相应工作的，扣1分，最多扣10分。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提交报告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(10分)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按时向市财政局报送报告的得10分；每推迟一个工作日报送报告的扣1分，最多扣10分。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自评</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报告</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70分</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完整性</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(15分)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 xml:space="preserve">1.绩效自评报告正文部分内容齐全的，得8分；否则每少一个部分扣2分，最多扣8分 </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2.绩效自评报告附件部分内容齐全的，得7分；否则每少一个部分扣2分，最多扣7分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绩效</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自评表</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(20分)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1、部门整体支出和项目支出绩效指标反映产出、效益、服务对象满意度方面的指标和预算执行率的权重符合《岳阳市市级预算部门绩效自评操作规程》要求的，得5分，否则按比例扣除相应的分数。</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2.部门整体支出和项目支出绩效指标全部细化到三级指标的，得5分；部分细化的，酌情扣分；没有细化的，不得分。</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反映问</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题情况</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(20分)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从预算和预算绩效管理，部门履职效能，资金分配、使用和管理，资产和财务管理，政府 采购等方面归纳问题，分析原因全面的，得20分；反映问题、分析原因较全面的，得16—18 分；反映问题、分析原因不全面的，得13—15分；问题未归纳且过于简单的，得10—12分；只提出资金不足问题的不得分；其他情况酌情扣分。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Arial" w:eastAsia="仿宋_GB2312" w:cs="仿宋_GB2312"/>
                <w:i w:val="0"/>
                <w:iCs w:val="0"/>
                <w:color w:val="000000"/>
                <w:sz w:val="24"/>
                <w:szCs w:val="24"/>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建议情况</w:t>
            </w:r>
            <w:r>
              <w:rPr>
                <w:rFonts w:hint="eastAsia" w:ascii="仿宋_GB2312" w:hAnsi="Arial" w:eastAsia="仿宋_GB2312" w:cs="仿宋_GB2312"/>
                <w:i w:val="0"/>
                <w:iCs w:val="0"/>
                <w:color w:val="000000"/>
                <w:kern w:val="0"/>
                <w:sz w:val="24"/>
                <w:szCs w:val="24"/>
                <w:u w:val="none"/>
                <w:lang w:val="en-US" w:eastAsia="zh-CN" w:bidi="ar"/>
              </w:rPr>
              <w:br w:type="textWrapping"/>
            </w:r>
            <w:r>
              <w:rPr>
                <w:rFonts w:hint="eastAsia" w:ascii="仿宋_GB2312" w:hAnsi="Arial" w:eastAsia="仿宋_GB2312" w:cs="仿宋_GB2312"/>
                <w:i w:val="0"/>
                <w:iCs w:val="0"/>
                <w:color w:val="000000"/>
                <w:kern w:val="0"/>
                <w:sz w:val="24"/>
                <w:szCs w:val="24"/>
                <w:u w:val="none"/>
                <w:lang w:val="en-US" w:eastAsia="zh-CN" w:bidi="ar"/>
              </w:rPr>
              <w:t>(15分)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建议与问题对应且全面的得15分，建议比较全面的得12—14分，建议不全面的得9—11分，建议过于简单的得6—8分，只提出加大资金投入建议的不得分；其他情况酌情扣分。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合计</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s="仿宋_GB2312"/>
                <w:i w:val="0"/>
                <w:iCs w:val="0"/>
                <w:color w:val="000000"/>
                <w:sz w:val="24"/>
                <w:szCs w:val="24"/>
                <w:u w:val="none"/>
              </w:rPr>
            </w:pPr>
            <w:r>
              <w:rPr>
                <w:rFonts w:hint="eastAsia" w:ascii="仿宋_GB2312" w:hAnsi="Arial" w:eastAsia="仿宋_GB2312" w:cs="仿宋_GB2312"/>
                <w:i w:val="0"/>
                <w:iCs w:val="0"/>
                <w:color w:val="000000"/>
                <w:kern w:val="0"/>
                <w:sz w:val="24"/>
                <w:szCs w:val="24"/>
                <w:u w:val="none"/>
                <w:lang w:val="en-US" w:eastAsia="zh-CN" w:bidi="ar"/>
              </w:rPr>
              <w:t>100分</w:t>
            </w:r>
          </w:p>
        </w:tc>
        <w:tc>
          <w:tcPr>
            <w:tcW w:w="9045"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_GB2312" w:hAnsi="Arial" w:eastAsia="仿宋_GB2312" w:cs="仿宋_GB2312"/>
                <w:i w:val="0"/>
                <w:iCs w:val="0"/>
                <w:color w:val="000000"/>
                <w:sz w:val="24"/>
                <w:szCs w:val="24"/>
                <w:u w:val="none"/>
              </w:rPr>
            </w:pPr>
          </w:p>
        </w:tc>
      </w:tr>
    </w:tbl>
    <w:p>
      <w:pPr>
        <w:pStyle w:val="2"/>
        <w:rPr>
          <w:rFonts w:hint="default" w:eastAsia="宋体"/>
          <w:lang w:val="en-US" w:eastAsia="zh-CN"/>
        </w:rPr>
      </w:pP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60136"/>
    <w:multiLevelType w:val="singleLevel"/>
    <w:tmpl w:val="95D60136"/>
    <w:lvl w:ilvl="0" w:tentative="0">
      <w:start w:val="8"/>
      <w:numFmt w:val="chineseCounting"/>
      <w:suff w:val="nothing"/>
      <w:lvlText w:val="%1、"/>
      <w:lvlJc w:val="left"/>
      <w:rPr>
        <w:rFonts w:hint="eastAsia"/>
      </w:rPr>
    </w:lvl>
  </w:abstractNum>
  <w:abstractNum w:abstractNumId="1">
    <w:nsid w:val="C0F59239"/>
    <w:multiLevelType w:val="singleLevel"/>
    <w:tmpl w:val="C0F59239"/>
    <w:lvl w:ilvl="0" w:tentative="0">
      <w:start w:val="4"/>
      <w:numFmt w:val="chineseCounting"/>
      <w:suff w:val="nothing"/>
      <w:lvlText w:val="%1、"/>
      <w:lvlJc w:val="left"/>
      <w:rPr>
        <w:rFonts w:hint="eastAsia"/>
      </w:rPr>
    </w:lvl>
  </w:abstractNum>
  <w:abstractNum w:abstractNumId="2">
    <w:nsid w:val="0873C11E"/>
    <w:multiLevelType w:val="singleLevel"/>
    <w:tmpl w:val="0873C11E"/>
    <w:lvl w:ilvl="0" w:tentative="0">
      <w:start w:val="1"/>
      <w:numFmt w:val="chineseCounting"/>
      <w:suff w:val="nothing"/>
      <w:lvlText w:val="%1、"/>
      <w:lvlJc w:val="left"/>
      <w:rPr>
        <w:rFonts w:hint="eastAsia"/>
      </w:rPr>
    </w:lvl>
  </w:abstractNum>
  <w:abstractNum w:abstractNumId="3">
    <w:nsid w:val="45894972"/>
    <w:multiLevelType w:val="singleLevel"/>
    <w:tmpl w:val="45894972"/>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ZmRmMGI5ZDgyZGRmNjIxMTk3MTM0NDgzMTlmNzYifQ=="/>
  </w:docVars>
  <w:rsids>
    <w:rsidRoot w:val="170812E0"/>
    <w:rsid w:val="05300538"/>
    <w:rsid w:val="0BA8707A"/>
    <w:rsid w:val="170812E0"/>
    <w:rsid w:val="1C476EB9"/>
    <w:rsid w:val="1FAF8AD3"/>
    <w:rsid w:val="23D94258"/>
    <w:rsid w:val="29537CE0"/>
    <w:rsid w:val="2B7A479C"/>
    <w:rsid w:val="31D62323"/>
    <w:rsid w:val="34390907"/>
    <w:rsid w:val="3EF21442"/>
    <w:rsid w:val="3F752574"/>
    <w:rsid w:val="400003A9"/>
    <w:rsid w:val="520C32B8"/>
    <w:rsid w:val="53CE051C"/>
    <w:rsid w:val="55AE3234"/>
    <w:rsid w:val="59883613"/>
    <w:rsid w:val="5FC33167"/>
    <w:rsid w:val="6BFF212F"/>
    <w:rsid w:val="6E471100"/>
    <w:rsid w:val="6E9226C1"/>
    <w:rsid w:val="72520436"/>
    <w:rsid w:val="7CE74125"/>
    <w:rsid w:val="7D516DF8"/>
    <w:rsid w:val="7FEC0DEE"/>
    <w:rsid w:val="93D11869"/>
    <w:rsid w:val="BDE79B48"/>
    <w:rsid w:val="F3F3C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a heading"/>
    <w:next w:val="1"/>
    <w:autoRedefine/>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autoRedefine/>
    <w:qFormat/>
    <w:uiPriority w:val="0"/>
    <w:pPr>
      <w:spacing w:after="120" w:afterLines="0" w:afterAutospacing="0"/>
    </w:pPr>
  </w:style>
  <w:style w:type="paragraph" w:styleId="6">
    <w:name w:val="List Paragraph"/>
    <w:basedOn w:val="1"/>
    <w:autoRedefine/>
    <w:qFormat/>
    <w:uiPriority w:val="99"/>
    <w:pPr>
      <w:ind w:firstLine="420" w:firstLineChars="200"/>
    </w:pPr>
    <w:rPr>
      <w:rFonts w:ascii="Calibri" w:hAnsi="Calibri"/>
      <w:szCs w:val="22"/>
    </w:rPr>
  </w:style>
  <w:style w:type="character" w:customStyle="1" w:styleId="7">
    <w:name w:val="font91"/>
    <w:basedOn w:val="5"/>
    <w:qFormat/>
    <w:uiPriority w:val="0"/>
    <w:rPr>
      <w:rFonts w:ascii="方正书宋_GBK" w:hAnsi="方正书宋_GBK" w:eastAsia="方正书宋_GBK" w:cs="方正书宋_GBK"/>
      <w:color w:val="000000"/>
      <w:sz w:val="24"/>
      <w:szCs w:val="24"/>
      <w:u w:val="none"/>
    </w:rPr>
  </w:style>
  <w:style w:type="character" w:customStyle="1" w:styleId="8">
    <w:name w:val="font51"/>
    <w:basedOn w:val="5"/>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548</Words>
  <Characters>560</Characters>
  <Lines>0</Lines>
  <Paragraphs>0</Paragraphs>
  <TotalTime>154</TotalTime>
  <ScaleCrop>false</ScaleCrop>
  <LinksUpToDate>false</LinksUpToDate>
  <CharactersWithSpaces>564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2023-07-06T08:59:00Z</dcterms:created>
  <dc:creator>Administrator</dc:creator>
  <cp:lastModifiedBy>付裕</cp:lastModifiedBy>
  <cp:lastPrinted>2025-09-01T18:22:00Z</cp:lastPrinted>
  <dcterms:modified xsi:type="dcterms:W3CDTF">2025-09-02T09:00:48Z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C758BC6BBF1444D0A1E299151111563A</vt:lpwstr>
  </property>
</Properties>
</file>