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A60CA">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ED3811E">
      <w:pPr>
        <w:jc w:val="center"/>
        <w:rPr>
          <w:rFonts w:hint="default" w:ascii="Times New Roman" w:hAnsi="Times New Roman" w:eastAsia="方正小标宋_GBK" w:cs="Times New Roman"/>
          <w:sz w:val="52"/>
          <w:szCs w:val="52"/>
        </w:rPr>
      </w:pPr>
    </w:p>
    <w:p w14:paraId="717877C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营田镇人民政府</w:t>
      </w:r>
      <w:r>
        <w:rPr>
          <w:rFonts w:hint="eastAsia" w:ascii="方正小标宋简体" w:hAnsi="方正小标宋简体" w:eastAsia="方正小标宋简体" w:cs="方正小标宋简体"/>
          <w:sz w:val="44"/>
          <w:szCs w:val="44"/>
        </w:rPr>
        <w:t>整体支出</w:t>
      </w:r>
    </w:p>
    <w:p w14:paraId="5786F6B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1D26B365">
      <w:pPr>
        <w:jc w:val="center"/>
        <w:rPr>
          <w:rFonts w:hint="default" w:ascii="Times New Roman" w:hAnsi="Times New Roman" w:eastAsia="方正小标宋_GBK" w:cs="Times New Roman"/>
          <w:b/>
          <w:sz w:val="52"/>
          <w:szCs w:val="52"/>
        </w:rPr>
      </w:pPr>
    </w:p>
    <w:p w14:paraId="0FE35175">
      <w:pPr>
        <w:jc w:val="center"/>
        <w:rPr>
          <w:rFonts w:hint="default" w:ascii="Times New Roman" w:hAnsi="Times New Roman" w:eastAsia="楷体_GB2312" w:cs="Times New Roman"/>
          <w:b/>
          <w:sz w:val="32"/>
          <w:szCs w:val="32"/>
        </w:rPr>
      </w:pPr>
    </w:p>
    <w:p w14:paraId="070466D2">
      <w:pPr>
        <w:jc w:val="center"/>
        <w:rPr>
          <w:rFonts w:hint="default" w:ascii="Times New Roman" w:hAnsi="Times New Roman" w:eastAsia="楷体_GB2312" w:cs="Times New Roman"/>
          <w:b/>
          <w:sz w:val="32"/>
          <w:szCs w:val="32"/>
        </w:rPr>
      </w:pPr>
    </w:p>
    <w:p w14:paraId="3077AA49">
      <w:pPr>
        <w:jc w:val="center"/>
        <w:rPr>
          <w:rFonts w:hint="default" w:ascii="Times New Roman" w:hAnsi="Times New Roman" w:eastAsia="楷体_GB2312" w:cs="Times New Roman"/>
          <w:b/>
          <w:sz w:val="32"/>
          <w:szCs w:val="32"/>
        </w:rPr>
      </w:pPr>
    </w:p>
    <w:p w14:paraId="104590E2">
      <w:pPr>
        <w:jc w:val="both"/>
        <w:rPr>
          <w:rFonts w:hint="default" w:ascii="Times New Roman" w:hAnsi="Times New Roman" w:eastAsia="楷体_GB2312" w:cs="Times New Roman"/>
          <w:b/>
          <w:sz w:val="32"/>
          <w:szCs w:val="32"/>
        </w:rPr>
      </w:pPr>
    </w:p>
    <w:p w14:paraId="4A3C35F2">
      <w:pPr>
        <w:jc w:val="center"/>
        <w:rPr>
          <w:rFonts w:hint="default" w:ascii="Times New Roman" w:hAnsi="Times New Roman" w:eastAsia="楷体_GB2312" w:cs="Times New Roman"/>
          <w:b/>
          <w:sz w:val="32"/>
          <w:szCs w:val="32"/>
        </w:rPr>
      </w:pPr>
    </w:p>
    <w:p w14:paraId="0C6D7F57">
      <w:pPr>
        <w:jc w:val="center"/>
        <w:rPr>
          <w:rFonts w:hint="default" w:ascii="Times New Roman" w:hAnsi="Times New Roman" w:eastAsia="黑体" w:cs="Times New Roman"/>
          <w:sz w:val="32"/>
          <w:szCs w:val="32"/>
        </w:rPr>
      </w:pPr>
    </w:p>
    <w:p w14:paraId="4016E575">
      <w:pPr>
        <w:jc w:val="center"/>
        <w:rPr>
          <w:rFonts w:hint="default" w:ascii="Times New Roman" w:hAnsi="Times New Roman" w:eastAsia="黑体" w:cs="Times New Roman"/>
          <w:sz w:val="32"/>
          <w:szCs w:val="32"/>
        </w:rPr>
      </w:pPr>
    </w:p>
    <w:p w14:paraId="5BF36687">
      <w:pPr>
        <w:jc w:val="center"/>
        <w:rPr>
          <w:rFonts w:hint="default" w:ascii="Times New Roman" w:hAnsi="Times New Roman" w:eastAsia="黑体" w:cs="Times New Roman"/>
          <w:sz w:val="32"/>
          <w:szCs w:val="32"/>
        </w:rPr>
      </w:pPr>
    </w:p>
    <w:p w14:paraId="4CA8E417">
      <w:pPr>
        <w:jc w:val="center"/>
        <w:rPr>
          <w:rFonts w:hint="default" w:ascii="Times New Roman" w:hAnsi="Times New Roman" w:eastAsia="黑体" w:cs="Times New Roman"/>
          <w:sz w:val="32"/>
          <w:szCs w:val="32"/>
        </w:rPr>
      </w:pPr>
    </w:p>
    <w:p w14:paraId="51B3DC4A">
      <w:pPr>
        <w:jc w:val="center"/>
        <w:rPr>
          <w:rFonts w:hint="default" w:ascii="Times New Roman" w:hAnsi="Times New Roman" w:eastAsia="黑体" w:cs="Times New Roman"/>
          <w:sz w:val="32"/>
          <w:szCs w:val="32"/>
        </w:rPr>
      </w:pPr>
    </w:p>
    <w:p w14:paraId="5928BC9D">
      <w:pPr>
        <w:jc w:val="center"/>
        <w:rPr>
          <w:rFonts w:hint="default" w:ascii="Times New Roman" w:hAnsi="Times New Roman" w:eastAsia="黑体" w:cs="Times New Roman"/>
          <w:sz w:val="32"/>
          <w:szCs w:val="32"/>
        </w:rPr>
      </w:pPr>
    </w:p>
    <w:p w14:paraId="266142CD">
      <w:pPr>
        <w:jc w:val="both"/>
        <w:rPr>
          <w:rFonts w:hint="default" w:ascii="Times New Roman" w:hAnsi="Times New Roman" w:eastAsia="黑体" w:cs="Times New Roman"/>
          <w:sz w:val="32"/>
          <w:szCs w:val="32"/>
        </w:rPr>
      </w:pPr>
    </w:p>
    <w:p w14:paraId="4A0A74A3">
      <w:pPr>
        <w:jc w:val="center"/>
        <w:rPr>
          <w:rFonts w:hint="default" w:ascii="Times New Roman" w:hAnsi="Times New Roman" w:eastAsia="黑体" w:cs="Times New Roman"/>
          <w:sz w:val="32"/>
          <w:szCs w:val="32"/>
        </w:rPr>
      </w:pPr>
    </w:p>
    <w:p w14:paraId="3F7B7C6C">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67582070">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w:t>
      </w:r>
    </w:p>
    <w:p w14:paraId="773F612B">
      <w:pPr>
        <w:jc w:val="center"/>
        <w:rPr>
          <w:rFonts w:hint="default" w:ascii="Times New Roman" w:hAnsi="Times New Roman" w:eastAsia="仿宋_GB2312" w:cs="Times New Roman"/>
          <w:sz w:val="32"/>
          <w:szCs w:val="32"/>
        </w:rPr>
      </w:pPr>
    </w:p>
    <w:p w14:paraId="1E7DC1EB">
      <w:pPr>
        <w:keepNext w:val="0"/>
        <w:keepLines w:val="0"/>
        <w:pageBreakBefore w:val="0"/>
        <w:kinsoku/>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营田镇人民政府</w:t>
      </w:r>
      <w:r>
        <w:rPr>
          <w:rFonts w:hint="eastAsia" w:ascii="方正小标宋简体" w:hAnsi="方正小标宋简体" w:eastAsia="方正小标宋简体" w:cs="方正小标宋简体"/>
          <w:sz w:val="44"/>
          <w:szCs w:val="44"/>
        </w:rPr>
        <w:t>整体支出</w:t>
      </w:r>
    </w:p>
    <w:p w14:paraId="3811991E">
      <w:pPr>
        <w:keepNext w:val="0"/>
        <w:keepLines w:val="0"/>
        <w:pageBreakBefore w:val="0"/>
        <w:kinsoku/>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884870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p>
    <w:p w14:paraId="5D4BD1EC">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35B4E7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rPr>
        <w:t>营田镇</w:t>
      </w:r>
      <w:r>
        <w:rPr>
          <w:rFonts w:hint="eastAsia" w:ascii="仿宋_GB2312" w:hAnsi="仿宋_GB2312" w:eastAsia="仿宋_GB2312" w:cs="仿宋_GB2312"/>
          <w:sz w:val="32"/>
          <w:szCs w:val="32"/>
          <w:lang w:eastAsia="zh-CN"/>
        </w:rPr>
        <w:t>位于湘江下游东岸，是屈原管理区政治、经济、文化中心。交通便利，水路有湘江贯通南北，通江达海，陆路有</w:t>
      </w:r>
      <w:r>
        <w:rPr>
          <w:rFonts w:hint="eastAsia" w:ascii="仿宋_GB2312" w:hAnsi="仿宋_GB2312" w:eastAsia="仿宋_GB2312" w:cs="仿宋_GB2312"/>
          <w:sz w:val="32"/>
          <w:szCs w:val="32"/>
          <w:lang w:val="en-US" w:eastAsia="zh-CN"/>
        </w:rPr>
        <w:t>S307省道与107国道相连，距京广铁路20公里，高铁站30公里，京珠复线屈原互通6公里。全镇总面积44平方公里，总人口4万人，是全国重点镇、全国农业产业强镇。现辖推山咀、青山寺、虎形山、槐花、余家坪5个社区居委会，义南、三洲、荷花、团湖、宝塔、八港6个建制村。</w:t>
      </w:r>
    </w:p>
    <w:p w14:paraId="698BFD51">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营田镇党政机构具有党委和政府两种职能。党委工作职责：（1）保证党的路线、方针、政策的坚决贯彻执行。（2）保证监督职能。（3）教育和管理职能。（4）服从和服务于经济建设的职能。（5）负责抓好本镇党建工作、群团工作、精神文明建设工作、新闻宣传工</w:t>
      </w:r>
      <w:r>
        <w:rPr>
          <w:rFonts w:hint="eastAsia" w:ascii="Times New Roman" w:hAnsi="Times New Roman" w:eastAsia="仿宋_GB2312" w:cs="Times New Roman"/>
          <w:color w:val="000000"/>
          <w:sz w:val="32"/>
          <w:szCs w:val="32"/>
          <w:lang w:val="en-US" w:eastAsia="zh-CN"/>
        </w:rPr>
        <w:t>作</w:t>
      </w:r>
      <w:r>
        <w:rPr>
          <w:rFonts w:hint="eastAsia" w:ascii="Times New Roman" w:hAnsi="Times New Roman" w:eastAsia="仿宋_GB2312" w:cs="Times New Roman"/>
          <w:color w:val="000000"/>
          <w:sz w:val="32"/>
          <w:szCs w:val="32"/>
          <w:lang w:eastAsia="zh-CN"/>
        </w:rPr>
        <w:t>。（6）完成</w:t>
      </w:r>
      <w:r>
        <w:rPr>
          <w:rFonts w:hint="eastAsia" w:ascii="Times New Roman" w:hAnsi="Times New Roman" w:eastAsia="仿宋_GB2312" w:cs="Times New Roman"/>
          <w:color w:val="000000"/>
          <w:sz w:val="32"/>
          <w:szCs w:val="32"/>
          <w:lang w:val="en-US" w:eastAsia="zh-CN"/>
        </w:rPr>
        <w:t>上级</w:t>
      </w:r>
      <w:r>
        <w:rPr>
          <w:rFonts w:hint="eastAsia" w:ascii="Times New Roman" w:hAnsi="Times New Roman" w:eastAsia="仿宋_GB2312" w:cs="Times New Roman"/>
          <w:color w:val="000000"/>
          <w:sz w:val="32"/>
          <w:szCs w:val="32"/>
          <w:lang w:eastAsia="zh-CN"/>
        </w:rPr>
        <w:t>交给的其他工作任务。政府职能：（1）制定和组织实施经济、科技和社会发展计划，制定资源开发技术改造和产业结构调整方案，组织指导好各业生产，协调好本镇与外地区的经济交流与合作，抓好招商引资，人才引进项目开发，不断培育市场体系，组织经济运行，促进经济发展。（2）制定并组织实施镇村建设规划，部署重点工程建设，地方道路建设及公共设施，水利设施的管理，负责土地、林木、水等自然资源和生态环境的保护。（3）负责本行政区域内的民政、卫生健康、文化教育、体育等社会公益事业的综合性工作，维护一切经济单位和个人的正当经济权益，取缔非法经济活动，调解和处理民事纠纷，打击刑事犯罪，维护社会稳定。（4）按计划组织本级财政收入和地方税的征收，完成区级财政计划，不断培植税源，管好财政资金，增强财政实力。（5）完成上级政府交办的其它事项。</w:t>
      </w:r>
    </w:p>
    <w:p w14:paraId="6A3BAAEF">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Times New Roman" w:hAnsi="Times New Roman" w:eastAsia="仿宋_GB2312" w:cs="Times New Roman"/>
          <w:color w:val="000000"/>
          <w:sz w:val="32"/>
          <w:szCs w:val="32"/>
          <w:highlight w:val="none"/>
          <w:lang w:val="en-US" w:eastAsia="zh-CN"/>
        </w:rPr>
        <w:t>营田镇人民政府内设机构包括：屈原管理区营田镇农业综合服务中心、屈原管理区营田镇公共文化和社会事业发展中心、营田镇经济发展站和营田镇经营管理站</w:t>
      </w:r>
    </w:p>
    <w:p w14:paraId="6D72F9B9">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0322D210">
      <w:pPr>
        <w:pStyle w:val="8"/>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56179991">
      <w:pPr>
        <w:pStyle w:val="9"/>
        <w:keepNext w:val="0"/>
        <w:keepLines w:val="0"/>
        <w:pageBreakBefore w:val="0"/>
        <w:kinsoku/>
        <w:overflowPunct/>
        <w:topLinePunct w:val="0"/>
        <w:bidi w:val="0"/>
        <w:snapToGrid/>
        <w:spacing w:line="580" w:lineRule="exact"/>
        <w:ind w:firstLine="640" w:firstLineChars="200"/>
        <w:textAlignment w:val="auto"/>
        <w:rPr>
          <w:rFonts w:hint="default" w:ascii="Times New Roman" w:hAnsi="Times New Roman" w:eastAsia="楷体_GB2312" w:cs="Times New Roman"/>
          <w:b/>
          <w:sz w:val="32"/>
          <w:szCs w:val="32"/>
          <w:lang w:val="en-US"/>
        </w:rPr>
      </w:pPr>
      <w:r>
        <w:rPr>
          <w:rFonts w:hint="eastAsia" w:ascii="Times New Roman" w:hAnsi="Times New Roman" w:eastAsia="仿宋_GB2312" w:cs="Times New Roman"/>
          <w:color w:val="000000"/>
          <w:kern w:val="2"/>
          <w:sz w:val="32"/>
          <w:szCs w:val="32"/>
          <w:highlight w:val="none"/>
          <w:lang w:val="en-US" w:eastAsia="zh-CN" w:bidi="ar-SA"/>
        </w:rPr>
        <w:t>2024年度财政拨款基本支出554.98万元，其中：人员经费508.04万元，占基本支出的91.54%,主要包括基本工资、津贴补贴、伙食补助费、绩效奖励、五险一金、村社区在职与退休基层干部生活补贴等；公用经费46.94万元，占基本支出的8.46%，主要包括办公费、印刷费、咨询费、水电费、邮电费、差旅费、维修费、会议费、培训费、公务接待费、交通费、工会经费、劳务费等。（另有基本支出276.41万元在其他资金中列支）</w:t>
      </w:r>
    </w:p>
    <w:p w14:paraId="0EF34D51">
      <w:pPr>
        <w:pStyle w:val="8"/>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390669F6">
      <w:pPr>
        <w:pStyle w:val="8"/>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仿宋_GB2312" w:cs="Times New Roman"/>
          <w:color w:val="000000"/>
          <w:kern w:val="2"/>
          <w:sz w:val="32"/>
          <w:szCs w:val="32"/>
          <w:lang w:val="en-US" w:eastAsia="zh-CN" w:bidi="ar-SA"/>
        </w:rPr>
        <w:t>2024年度财政拨款项目支出1460.05万元，</w:t>
      </w:r>
      <w:r>
        <w:rPr>
          <w:rFonts w:hint="eastAsia" w:ascii="Times New Roman" w:hAnsi="Times New Roman" w:eastAsia="仿宋_GB2312" w:cs="Times New Roman"/>
          <w:color w:val="000000"/>
          <w:kern w:val="2"/>
          <w:sz w:val="32"/>
          <w:szCs w:val="32"/>
          <w:highlight w:val="none"/>
          <w:lang w:val="en-US" w:eastAsia="zh-CN" w:bidi="ar-SA"/>
        </w:rPr>
        <w:t>其中：</w:t>
      </w:r>
      <w:r>
        <w:rPr>
          <w:rFonts w:hint="default" w:ascii="Times New Roman" w:hAnsi="Times New Roman" w:eastAsia="仿宋_GB2312" w:cs="Times New Roman"/>
          <w:color w:val="000000"/>
          <w:kern w:val="2"/>
          <w:sz w:val="32"/>
          <w:szCs w:val="32"/>
          <w:highlight w:val="none"/>
          <w:lang w:val="en-US" w:eastAsia="zh-CN" w:bidi="ar-SA"/>
        </w:rPr>
        <w:t>村级运转</w:t>
      </w:r>
      <w:r>
        <w:rPr>
          <w:rFonts w:hint="eastAsia" w:ascii="Times New Roman" w:hAnsi="Times New Roman" w:eastAsia="仿宋_GB2312" w:cs="Times New Roman"/>
          <w:color w:val="000000"/>
          <w:kern w:val="2"/>
          <w:sz w:val="32"/>
          <w:szCs w:val="32"/>
          <w:highlight w:val="none"/>
          <w:lang w:val="en-US" w:eastAsia="zh-CN" w:bidi="ar-SA"/>
        </w:rPr>
        <w:t>125万元，占项目支出8.56%，主要包括村社区工作运转经费等；</w:t>
      </w:r>
      <w:r>
        <w:rPr>
          <w:rFonts w:hint="default" w:ascii="Times New Roman" w:hAnsi="Times New Roman" w:eastAsia="仿宋_GB2312" w:cs="Times New Roman"/>
          <w:color w:val="000000"/>
          <w:kern w:val="2"/>
          <w:sz w:val="32"/>
          <w:szCs w:val="32"/>
          <w:highlight w:val="none"/>
          <w:lang w:val="en-US" w:eastAsia="zh-CN" w:bidi="ar-SA"/>
        </w:rPr>
        <w:t>乡镇</w:t>
      </w:r>
      <w:r>
        <w:rPr>
          <w:rFonts w:hint="eastAsia" w:ascii="Times New Roman" w:hAnsi="Times New Roman" w:eastAsia="仿宋_GB2312" w:cs="Times New Roman"/>
          <w:color w:val="000000"/>
          <w:kern w:val="2"/>
          <w:sz w:val="32"/>
          <w:szCs w:val="32"/>
          <w:highlight w:val="none"/>
          <w:lang w:val="en-US" w:eastAsia="zh-CN" w:bidi="ar-SA"/>
        </w:rPr>
        <w:t>部门工作经费1335.0</w:t>
      </w:r>
      <w:bookmarkStart w:id="0" w:name="_GoBack"/>
      <w:bookmarkEnd w:id="0"/>
      <w:r>
        <w:rPr>
          <w:rFonts w:hint="eastAsia" w:ascii="Times New Roman" w:hAnsi="Times New Roman" w:eastAsia="仿宋_GB2312" w:cs="Times New Roman"/>
          <w:color w:val="000000"/>
          <w:kern w:val="2"/>
          <w:sz w:val="32"/>
          <w:szCs w:val="32"/>
          <w:highlight w:val="none"/>
          <w:lang w:val="en-US" w:eastAsia="zh-CN" w:bidi="ar-SA"/>
        </w:rPr>
        <w:t>5万元，占项目支出的91.44%，主要包括乡镇部门站所项目及工作经费等；农牧工基数上解28.87万元在转移支付中扣除，未占用乡镇项目支出。</w:t>
      </w:r>
    </w:p>
    <w:p w14:paraId="7F6F8ABD">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61C4CFD9">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3F04E507">
      <w:pPr>
        <w:pStyle w:val="8"/>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3B5BB0DB">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52163672">
      <w:pPr>
        <w:pStyle w:val="8"/>
        <w:keepNext w:val="0"/>
        <w:keepLines w:val="0"/>
        <w:pageBreakBefore w:val="0"/>
        <w:widowControl/>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0FA29A19">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5C1A80A8">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6ED1C804">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本单位于2023年下半年申报预算，并编制预算绩效目标，共申报</w:t>
      </w:r>
      <w:r>
        <w:rPr>
          <w:rFonts w:hint="default" w:ascii="仿宋_GB2312" w:hAnsi="仿宋_GB2312" w:eastAsia="仿宋_GB2312" w:cs="Times New Roman"/>
          <w:color w:val="auto"/>
          <w:kern w:val="2"/>
          <w:sz w:val="32"/>
          <w:szCs w:val="24"/>
          <w:highlight w:val="none"/>
          <w:lang w:val="en-US" w:eastAsia="zh-CN" w:bidi="ar-SA"/>
        </w:rPr>
        <w:t>村级运转</w:t>
      </w:r>
      <w:r>
        <w:rPr>
          <w:rFonts w:hint="eastAsia" w:ascii="仿宋_GB2312" w:hAnsi="仿宋_GB2312" w:eastAsia="仿宋_GB2312" w:cs="Times New Roman"/>
          <w:color w:val="auto"/>
          <w:kern w:val="2"/>
          <w:sz w:val="32"/>
          <w:szCs w:val="24"/>
          <w:highlight w:val="none"/>
          <w:lang w:val="en-US" w:eastAsia="zh-CN" w:bidi="ar-SA"/>
        </w:rPr>
        <w:t>、农牧工基数上解、</w:t>
      </w:r>
      <w:r>
        <w:rPr>
          <w:rFonts w:hint="eastAsia" w:ascii="Times New Roman" w:hAnsi="Times New Roman" w:eastAsia="仿宋_GB2312" w:cs="Times New Roman"/>
          <w:color w:val="000000"/>
          <w:kern w:val="2"/>
          <w:sz w:val="32"/>
          <w:szCs w:val="32"/>
          <w:highlight w:val="none"/>
          <w:lang w:val="en-US" w:eastAsia="zh-CN" w:bidi="ar-SA"/>
        </w:rPr>
        <w:t>乡镇部门工作经费、</w:t>
      </w:r>
      <w:r>
        <w:rPr>
          <w:rFonts w:hint="default" w:ascii="仿宋_GB2312" w:hAnsi="仿宋_GB2312" w:eastAsia="仿宋_GB2312" w:cs="Times New Roman"/>
          <w:color w:val="auto"/>
          <w:kern w:val="2"/>
          <w:sz w:val="32"/>
          <w:szCs w:val="24"/>
          <w:highlight w:val="none"/>
          <w:lang w:val="en-US" w:eastAsia="zh-CN" w:bidi="ar-SA"/>
        </w:rPr>
        <w:t>村主职干部养老保险补助</w:t>
      </w:r>
      <w:r>
        <w:rPr>
          <w:rFonts w:hint="eastAsia" w:ascii="仿宋_GB2312" w:hAnsi="仿宋_GB2312" w:eastAsia="仿宋_GB2312" w:cs="Times New Roman"/>
          <w:color w:val="auto"/>
          <w:kern w:val="2"/>
          <w:sz w:val="32"/>
          <w:szCs w:val="24"/>
          <w:highlight w:val="none"/>
          <w:lang w:val="en-US" w:eastAsia="zh-CN" w:bidi="ar-SA"/>
        </w:rPr>
        <w:t>项目共计4个，部门整体支出绩效目标1个，基本上达到了预期效果，资金使用到位，取得了良好的社会效益。</w:t>
      </w:r>
    </w:p>
    <w:p w14:paraId="47659964">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val="en-US" w:eastAsia="zh-CN" w:bidi="ar"/>
        </w:rPr>
        <w:t>1、经济运行稳步向好。</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sz w:val="32"/>
          <w:szCs w:val="32"/>
          <w:highlight w:val="none"/>
        </w:rPr>
        <w:t>全力以赴争资金。</w:t>
      </w:r>
      <w:r>
        <w:rPr>
          <w:rFonts w:hint="eastAsia" w:ascii="仿宋_GB2312" w:hAnsi="仿宋_GB2312" w:eastAsia="仿宋_GB2312" w:cs="仿宋_GB2312"/>
          <w:sz w:val="32"/>
          <w:szCs w:val="32"/>
          <w:highlight w:val="none"/>
          <w:lang w:val="en-US" w:eastAsia="zh-CN"/>
        </w:rPr>
        <w:t>2024年区管委下达我镇年度争资任务200万元，全年落实资金2983万元，已拨付到位资金1319万元，其中中央预算内资金2467万元，其他财政性资金449万元，乡友捐赠资金67万元，超额完成全年任务。</w:t>
      </w:r>
      <w:r>
        <w:rPr>
          <w:rFonts w:hint="eastAsia" w:ascii="仿宋_GB2312" w:hAnsi="仿宋_GB2312" w:eastAsia="仿宋_GB2312" w:cs="仿宋_GB2312"/>
          <w:color w:val="auto"/>
          <w:kern w:val="2"/>
          <w:sz w:val="32"/>
          <w:lang w:val="en-US" w:eastAsia="zh-CN"/>
        </w:rPr>
        <w:t>全年实现收入3642.8万元，其中一般预算收入2015.03万元，政府性基金收入82.64万元，其他资金收入1545.13万元。</w:t>
      </w:r>
      <w:r>
        <w:rPr>
          <w:rFonts w:hint="eastAsia" w:ascii="仿宋_GB2312" w:hAnsi="仿宋_GB2312" w:eastAsia="仿宋_GB2312" w:cs="仿宋_GB2312"/>
          <w:b/>
          <w:bCs/>
          <w:sz w:val="32"/>
          <w:szCs w:val="32"/>
          <w:highlight w:val="none"/>
          <w:lang w:val="en-US" w:eastAsia="zh-CN"/>
        </w:rPr>
        <w:t>二是多措并举谋项目。</w:t>
      </w:r>
      <w:r>
        <w:rPr>
          <w:rFonts w:hint="eastAsia" w:ascii="仿宋_GB2312" w:hAnsi="仿宋_GB2312" w:eastAsia="仿宋_GB2312" w:cs="仿宋_GB2312"/>
          <w:sz w:val="32"/>
          <w:szCs w:val="32"/>
        </w:rPr>
        <w:t>申报屈原管理区城镇生活垃圾分类收集转运一体化项目，第一期投资计划</w:t>
      </w:r>
      <w:r>
        <w:rPr>
          <w:rFonts w:hint="eastAsia" w:ascii="仿宋_GB2312" w:hAnsi="仿宋_GB2312" w:eastAsia="仿宋_GB2312" w:cs="仿宋_GB2312"/>
          <w:sz w:val="32"/>
          <w:szCs w:val="32"/>
          <w:lang w:val="en-US" w:eastAsia="zh-CN"/>
        </w:rPr>
        <w:t>1050</w:t>
      </w:r>
      <w:r>
        <w:rPr>
          <w:rFonts w:hint="eastAsia" w:ascii="仿宋_GB2312" w:hAnsi="仿宋_GB2312" w:eastAsia="仿宋_GB2312" w:cs="仿宋_GB2312"/>
          <w:sz w:val="32"/>
          <w:szCs w:val="32"/>
        </w:rPr>
        <w:t>万元已下达。</w:t>
      </w:r>
      <w:r>
        <w:rPr>
          <w:rFonts w:hint="eastAsia" w:ascii="仿宋_GB2312" w:hAnsi="仿宋_GB2312" w:eastAsia="仿宋_GB2312" w:cs="仿宋_GB2312"/>
          <w:color w:val="000000"/>
          <w:sz w:val="32"/>
          <w:szCs w:val="32"/>
        </w:rPr>
        <w:t>申报营田镇稻蔬轮作产业配套基础设施（以工代赈）项目，申请中央财政资金100万元，资金已下达。申报营田镇2025年农村小型公益性基础设施（以工代赈）项目，申请中央预算内资金200万元，资金已下达。对接省民政厅，成功争取骨灰安放设施项目资金300万元，资金已批复，正在下达中。</w:t>
      </w:r>
      <w:r>
        <w:rPr>
          <w:rFonts w:hint="eastAsia" w:ascii="仿宋_GB2312" w:hAnsi="仿宋_GB2312" w:eastAsia="仿宋_GB2312" w:cs="仿宋_GB2312"/>
          <w:b/>
          <w:bCs/>
          <w:sz w:val="32"/>
          <w:szCs w:val="32"/>
          <w:highlight w:val="none"/>
          <w:lang w:val="en-US" w:eastAsia="zh-CN"/>
        </w:rPr>
        <w:t>三是合力攻坚化债务。</w:t>
      </w:r>
      <w:r>
        <w:rPr>
          <w:rFonts w:hint="eastAsia" w:ascii="仿宋_GB2312" w:hAnsi="仿宋_GB2312" w:eastAsia="仿宋_GB2312" w:cs="仿宋_GB2312"/>
          <w:sz w:val="32"/>
          <w:szCs w:val="32"/>
        </w:rPr>
        <w:t>制定出台了《营田镇村级债务化解三年专项行动方案》，已收回“老欠”47.7万余元，完成比例达48.94%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已化解</w:t>
      </w:r>
      <w:r>
        <w:rPr>
          <w:rFonts w:hint="eastAsia" w:ascii="仿宋_GB2312" w:hAnsi="仿宋_GB2312" w:eastAsia="仿宋_GB2312" w:cs="仿宋_GB2312"/>
          <w:sz w:val="32"/>
          <w:szCs w:val="32"/>
          <w:lang w:eastAsia="zh-CN"/>
        </w:rPr>
        <w:t>村级</w:t>
      </w:r>
      <w:r>
        <w:rPr>
          <w:rFonts w:hint="eastAsia" w:ascii="仿宋_GB2312" w:hAnsi="仿宋_GB2312" w:eastAsia="仿宋_GB2312" w:cs="仿宋_GB2312"/>
          <w:sz w:val="32"/>
          <w:szCs w:val="32"/>
        </w:rPr>
        <w:t>债务795万余元，村级债务总体规模下降30%。</w:t>
      </w:r>
    </w:p>
    <w:p w14:paraId="36765E13">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b/>
          <w:bCs/>
          <w:kern w:val="0"/>
          <w:sz w:val="32"/>
          <w:szCs w:val="32"/>
          <w:lang w:val="en-US" w:eastAsia="zh-CN" w:bidi="ar"/>
        </w:rPr>
        <w:t>2、乡村振兴取得实效。</w:t>
      </w:r>
      <w:r>
        <w:rPr>
          <w:rFonts w:hint="eastAsia" w:ascii="仿宋_GB2312" w:hAnsi="仿宋_GB2312" w:eastAsia="仿宋_GB2312" w:cs="仿宋_GB2312"/>
          <w:b/>
          <w:bCs/>
          <w:sz w:val="32"/>
          <w:szCs w:val="32"/>
          <w:highlight w:val="none"/>
          <w:lang w:val="en-US" w:eastAsia="zh-CN"/>
        </w:rPr>
        <w:t>一是农业产业做大做强。</w:t>
      </w:r>
      <w:r>
        <w:rPr>
          <w:rFonts w:hint="eastAsia" w:ascii="仿宋_GB2312" w:hAnsi="仿宋_GB2312" w:eastAsia="仿宋_GB2312" w:cs="仿宋_GB2312"/>
          <w:kern w:val="2"/>
          <w:sz w:val="32"/>
          <w:szCs w:val="32"/>
          <w:highlight w:val="none"/>
          <w:lang w:val="en-US" w:eastAsia="zh-CN" w:bidi="ar-SA"/>
        </w:rPr>
        <w:t>举办了屈原管理区营田镇全域水稻单产提升行动早稻机插秧技能竞赛暨田间管理技术现场培训活动，新培育农业市场主体15名，新购置育秧泥浆机12套、育秧播种机12台、育秧流水线2条、插秧机22台，全域水稻单产提升成效明显。在荷花村、八港村建设高标准农田5000亩，“中安2号”亩产1000斤，“臻两优8612”亩产1300斤，粮食生产指令性任务3.9万亩超额完成。</w:t>
      </w:r>
      <w:r>
        <w:rPr>
          <w:rFonts w:hint="eastAsia" w:ascii="仿宋_GB2312" w:hAnsi="仿宋_GB2312" w:eastAsia="仿宋_GB2312" w:cs="仿宋_GB2312"/>
          <w:b/>
          <w:bCs/>
          <w:sz w:val="32"/>
          <w:szCs w:val="32"/>
          <w:highlight w:val="none"/>
          <w:lang w:val="en-US" w:eastAsia="zh-CN"/>
        </w:rPr>
        <w:t>二是集体经济有声有色。</w:t>
      </w:r>
      <w:r>
        <w:rPr>
          <w:rFonts w:hint="eastAsia" w:ascii="仿宋_GB2312" w:hAnsi="仿宋_GB2312" w:eastAsia="仿宋_GB2312" w:cs="仿宋_GB2312"/>
          <w:kern w:val="2"/>
          <w:sz w:val="32"/>
          <w:szCs w:val="32"/>
          <w:lang w:val="en-US" w:eastAsia="zh-CN" w:bidi="ar-SA"/>
        </w:rPr>
        <w:t>利用“六边”闲置土地发展“庭院经济”184户160亩，推广种植果树2万余株。引进返乡创业代表曹浪投资60万元建设团湖榨油厂。2024年，全口径统计全镇6个农业村集体经济总</w:t>
      </w:r>
      <w:r>
        <w:rPr>
          <w:rFonts w:hint="eastAsia" w:ascii="仿宋_GB2312" w:hAnsi="仿宋_GB2312" w:eastAsia="仿宋_GB2312" w:cs="仿宋_GB2312"/>
          <w:kern w:val="2"/>
          <w:sz w:val="32"/>
          <w:szCs w:val="32"/>
          <w:highlight w:val="none"/>
          <w:lang w:val="en-US" w:eastAsia="zh-CN" w:bidi="ar-SA"/>
        </w:rPr>
        <w:t>收入225.8万余元，</w:t>
      </w:r>
      <w:r>
        <w:rPr>
          <w:rFonts w:hint="eastAsia" w:ascii="仿宋_GB2312" w:hAnsi="仿宋_GB2312" w:eastAsia="仿宋_GB2312" w:cs="仿宋_GB2312"/>
          <w:kern w:val="2"/>
          <w:sz w:val="32"/>
          <w:szCs w:val="32"/>
          <w:lang w:val="en-US" w:eastAsia="zh-CN" w:bidi="ar-SA"/>
        </w:rPr>
        <w:t>村均收入达37万元以上。</w:t>
      </w:r>
      <w:r>
        <w:rPr>
          <w:rFonts w:hint="eastAsia" w:ascii="仿宋_GB2312" w:hAnsi="仿宋_GB2312" w:eastAsia="仿宋_GB2312" w:cs="仿宋_GB2312"/>
          <w:b/>
          <w:bCs/>
          <w:sz w:val="32"/>
          <w:szCs w:val="32"/>
          <w:highlight w:val="none"/>
          <w:lang w:val="en-US" w:eastAsia="zh-CN"/>
        </w:rPr>
        <w:t>三是动态帮扶落实落细。</w:t>
      </w:r>
      <w:r>
        <w:rPr>
          <w:rFonts w:hint="eastAsia" w:ascii="仿宋_GB2312" w:hAnsi="仿宋_GB2312" w:eastAsia="仿宋_GB2312" w:cs="仿宋_GB2312"/>
          <w:kern w:val="2"/>
          <w:sz w:val="32"/>
          <w:szCs w:val="32"/>
          <w:highlight w:val="none"/>
          <w:lang w:val="en-US" w:eastAsia="zh-CN" w:bidi="ar-SA"/>
        </w:rPr>
        <w:t>全年共消除风险监测对象6户，7户未消除风险监测对象均按照“缺什么帮什么”、稳收增收、风险消除的要求精准制定帮扶措施。帮助脱贫户、监测对象申请公益性岗位13个，农村公共服务16个，全镇共有342名脱贫人口务工就业，发放交通补贴223人6.35万元。争取乡村振兴衔接项目25个434.4万元，已全部完工验收。</w:t>
      </w:r>
    </w:p>
    <w:p w14:paraId="1CFABA7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
        </w:rPr>
        <w:t>3、民生福祉持续增进。</w:t>
      </w:r>
      <w:r>
        <w:rPr>
          <w:rFonts w:hint="eastAsia" w:ascii="仿宋_GB2312" w:hAnsi="仿宋_GB2312" w:eastAsia="仿宋_GB2312" w:cs="仿宋_GB2312"/>
          <w:b/>
          <w:bCs/>
          <w:kern w:val="2"/>
          <w:sz w:val="32"/>
          <w:szCs w:val="32"/>
          <w:highlight w:val="none"/>
          <w:lang w:val="en-US" w:eastAsia="zh-CN" w:bidi="ar-SA"/>
        </w:rPr>
        <w:t>一是优化基础设施。</w:t>
      </w:r>
      <w:r>
        <w:rPr>
          <w:rFonts w:hint="eastAsia" w:ascii="仿宋_GB2312" w:hAnsi="仿宋_GB2312" w:eastAsia="仿宋_GB2312" w:cs="仿宋_GB2312"/>
          <w:b w:val="0"/>
          <w:bCs w:val="0"/>
          <w:sz w:val="32"/>
          <w:szCs w:val="32"/>
          <w:lang w:val="en-US" w:eastAsia="zh-CN"/>
        </w:rPr>
        <w:t>高质量完成了东古湖生态停车场、观鸟步行道修缮平整项目、虎形山社区营田菜队居民区、虎形山社区原水泥厂、槐花社区尚林片居民区排污下水道建设及槐花社区尚林片居民区道路硬化，虎形山社区原粮站、义南村千秋片、推山咀社区沿江片3座危旧水塔拆除等民生实事工程。</w:t>
      </w:r>
      <w:r>
        <w:rPr>
          <w:rFonts w:hint="eastAsia" w:ascii="仿宋_GB2312" w:hAnsi="仿宋_GB2312" w:eastAsia="仿宋_GB2312" w:cs="仿宋_GB2312"/>
          <w:b/>
          <w:bCs/>
          <w:kern w:val="2"/>
          <w:sz w:val="32"/>
          <w:szCs w:val="32"/>
          <w:highlight w:val="none"/>
          <w:lang w:val="en-US" w:eastAsia="zh-CN" w:bidi="ar-SA"/>
        </w:rPr>
        <w:t>二是强化社会保障。</w:t>
      </w:r>
      <w:r>
        <w:rPr>
          <w:rFonts w:hint="eastAsia" w:ascii="仿宋_GB2312" w:hAnsi="仿宋_GB2312" w:eastAsia="仿宋_GB2312" w:cs="仿宋_GB2312"/>
          <w:b w:val="0"/>
          <w:bCs w:val="0"/>
          <w:sz w:val="32"/>
          <w:szCs w:val="32"/>
          <w:lang w:val="en-US" w:eastAsia="zh-CN"/>
        </w:rPr>
        <w:t>新增低保47户83人，清退低保24户92人，完成74户困难重度残疾人家庭无障碍改造及验收，青山寺社区成功申报“省级残疾人多功能康复服务站”。全年组织发放应急救灾资金1271560元，发放米油720份、棉被250件、棉衣100件。</w:t>
      </w:r>
      <w:r>
        <w:rPr>
          <w:rFonts w:hint="eastAsia" w:ascii="仿宋_GB2312" w:hAnsi="仿宋_GB2312" w:eastAsia="仿宋_GB2312" w:cs="仿宋_GB2312"/>
          <w:b/>
          <w:bCs/>
          <w:kern w:val="2"/>
          <w:sz w:val="32"/>
          <w:szCs w:val="32"/>
          <w:highlight w:val="none"/>
          <w:lang w:val="en-US" w:eastAsia="zh-CN" w:bidi="ar-SA"/>
        </w:rPr>
        <w:t>三是美化人居环境。</w:t>
      </w:r>
      <w:r>
        <w:rPr>
          <w:rFonts w:hint="eastAsia" w:ascii="仿宋_GB2312" w:hAnsi="仿宋_GB2312" w:eastAsia="仿宋_GB2312" w:cs="仿宋_GB2312"/>
          <w:b w:val="0"/>
          <w:bCs w:val="0"/>
          <w:sz w:val="32"/>
          <w:szCs w:val="32"/>
          <w:lang w:val="en-US" w:eastAsia="zh-CN"/>
        </w:rPr>
        <w:t>新增三格式化粪池130个。集中整治河湖岸线问题6个，整改销号水利监测图斑4个，清理沟渠5公里，清理水域及岸线砂石、建筑垃圾等500余吨。拍摄“和美庭院”宣传视频十期，累计播放量9万余次，逐步营造了以“和美庭院”“小环境”，整洁乡村“大环境”，优化家庭文化“软环境”的良好氛围。</w:t>
      </w:r>
    </w:p>
    <w:p w14:paraId="5EC17494">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0"/>
          <w:sz w:val="32"/>
          <w:szCs w:val="32"/>
          <w:lang w:val="en-US" w:eastAsia="zh-CN" w:bidi="ar"/>
        </w:rPr>
        <w:t>4、社会大局和谐稳定。</w:t>
      </w:r>
      <w:r>
        <w:rPr>
          <w:rFonts w:hint="eastAsia" w:ascii="仿宋_GB2312" w:hAnsi="仿宋_GB2312" w:eastAsia="仿宋_GB2312" w:cs="仿宋_GB2312"/>
          <w:b/>
          <w:bCs/>
          <w:kern w:val="2"/>
          <w:sz w:val="32"/>
          <w:szCs w:val="32"/>
          <w:highlight w:val="none"/>
          <w:lang w:val="en-US" w:eastAsia="zh-CN" w:bidi="ar-SA"/>
        </w:rPr>
        <w:t>一是乡友乡贤点赞。</w:t>
      </w:r>
      <w:r>
        <w:rPr>
          <w:rFonts w:hint="eastAsia" w:ascii="仿宋_GB2312" w:hAnsi="仿宋_GB2312" w:eastAsia="仿宋_GB2312" w:cs="仿宋_GB2312"/>
          <w:b w:val="0"/>
          <w:bCs w:val="0"/>
          <w:sz w:val="32"/>
          <w:szCs w:val="32"/>
          <w:lang w:val="en-US" w:eastAsia="zh-CN"/>
        </w:rPr>
        <w:t>走访乡友乡贤30余人次，组织乡友活动2次，选聘了15名荣誉副主任和40名广场舞邻长，覆盖全镇所有行政村（社），涵盖家乡寓外乡友、农业合作社负责人、企业家等各层次优秀代表，为推动营田高质量发展献智、献策、献力。</w:t>
      </w:r>
      <w:r>
        <w:rPr>
          <w:rFonts w:hint="eastAsia" w:ascii="仿宋_GB2312" w:hAnsi="仿宋_GB2312" w:eastAsia="仿宋_GB2312" w:cs="仿宋_GB2312"/>
          <w:b/>
          <w:bCs/>
          <w:kern w:val="2"/>
          <w:sz w:val="32"/>
          <w:szCs w:val="32"/>
          <w:highlight w:val="none"/>
          <w:lang w:val="en-US" w:eastAsia="zh-CN" w:bidi="ar-SA"/>
        </w:rPr>
        <w:t>二是信访维稳有力。</w:t>
      </w:r>
      <w:r>
        <w:rPr>
          <w:rFonts w:hint="eastAsia" w:ascii="仿宋_GB2312" w:hAnsi="仿宋_GB2312" w:eastAsia="仿宋_GB2312" w:cs="仿宋_GB2312"/>
          <w:b w:val="0"/>
          <w:bCs w:val="0"/>
          <w:sz w:val="32"/>
          <w:szCs w:val="32"/>
          <w:lang w:val="en-US" w:eastAsia="zh-CN"/>
        </w:rPr>
        <w:t>2024年有效处理了陈新波反映征地补偿标准过低、怀疑因举报被他人打击报复的信访问题，湘阴县三塘镇吴向午反映在德业陵园维权被打致伤信访纠纷问题，以及贸易公司危房拆除，花果山安置小区办证问题引起的信访纠纷，此外还有黄桃春、刘会球、杨淼、廖百利等一众重点信访人员，均第一时间回复处置，及时化解矛盾。</w:t>
      </w:r>
      <w:r>
        <w:rPr>
          <w:rFonts w:hint="eastAsia" w:ascii="仿宋_GB2312" w:hAnsi="仿宋_GB2312" w:eastAsia="仿宋_GB2312" w:cs="仿宋_GB2312"/>
          <w:b/>
          <w:bCs/>
          <w:kern w:val="2"/>
          <w:sz w:val="32"/>
          <w:szCs w:val="32"/>
          <w:highlight w:val="none"/>
          <w:lang w:val="en-US" w:eastAsia="zh-CN" w:bidi="ar-SA"/>
        </w:rPr>
        <w:t>三是攻坚克难检验。</w:t>
      </w:r>
      <w:r>
        <w:rPr>
          <w:rFonts w:hint="eastAsia" w:ascii="仿宋_GB2312" w:hAnsi="仿宋_GB2312" w:eastAsia="仿宋_GB2312" w:cs="仿宋_GB2312"/>
          <w:sz w:val="32"/>
          <w:szCs w:val="32"/>
          <w:lang w:val="en-US" w:eastAsia="zh-CN"/>
        </w:rPr>
        <w:t>面对低温冰冻攻坚战，我们印发《营田镇低温雨雪冰冻天气温馨提示》，发放被子15套、衣服15件、工业盐4吨，引导群众科学避灾、积极防灾、主动救灾。面对防汛抗洪攻坚战，全镇干群坚守防汛一线大堤39天，组织成立临时党支部11个，240名党员主动认领责任区域16个，清基扫障15.6公里，征收编织袋42600个，搭建防汛值班棚15顶，巡查历年险工险段及穿堤涵闸18处、新发现并处置险情18处。</w:t>
      </w:r>
    </w:p>
    <w:p w14:paraId="42CAEF8B">
      <w:pPr>
        <w:keepNext w:val="0"/>
        <w:keepLines w:val="0"/>
        <w:pageBreakBefore w:val="0"/>
        <w:widowControl w:val="0"/>
        <w:kinsoku/>
        <w:overflowPunct/>
        <w:topLinePunct w:val="0"/>
        <w:bidi w:val="0"/>
        <w:snapToGrid/>
        <w:spacing w:after="0" w:line="580" w:lineRule="exact"/>
        <w:ind w:left="0" w:leftChars="0"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0"/>
          <w:sz w:val="32"/>
          <w:szCs w:val="32"/>
          <w:lang w:val="en-US" w:eastAsia="zh-CN" w:bidi="ar"/>
        </w:rPr>
        <w:t>5、自身建设不断深化。</w:t>
      </w:r>
      <w:r>
        <w:rPr>
          <w:rFonts w:hint="eastAsia" w:ascii="仿宋_GB2312" w:hAnsi="仿宋_GB2312" w:eastAsia="仿宋_GB2312" w:cs="仿宋_GB2312"/>
          <w:b/>
          <w:bCs/>
          <w:kern w:val="2"/>
          <w:sz w:val="32"/>
          <w:szCs w:val="32"/>
          <w:lang w:val="en-US" w:eastAsia="zh-CN" w:bidi="ar-SA"/>
        </w:rPr>
        <w:t>一是扎实推进廉政建设。</w:t>
      </w:r>
      <w:r>
        <w:rPr>
          <w:rFonts w:hint="eastAsia" w:ascii="仿宋_GB2312" w:hAnsi="仿宋_GB2312" w:eastAsia="仿宋_GB2312" w:cs="仿宋_GB2312"/>
          <w:kern w:val="2"/>
          <w:sz w:val="32"/>
          <w:szCs w:val="32"/>
          <w:lang w:val="en-US" w:eastAsia="zh-CN" w:bidi="ar-SA"/>
        </w:rPr>
        <w:t>扎实开展党纪学习教育，认真落实中央八项规定及其实施细则精神，深入开展群众身边不正之风和腐败问题集中整治，全年受理办结问题线索28条，给予党内警告处分20人次，党内严重警告1人次，推动全面从严治党走深走实。</w:t>
      </w:r>
      <w:r>
        <w:rPr>
          <w:rFonts w:hint="eastAsia" w:ascii="仿宋_GB2312" w:hAnsi="仿宋_GB2312" w:eastAsia="仿宋_GB2312" w:cs="仿宋_GB2312"/>
          <w:b/>
          <w:bCs/>
          <w:kern w:val="2"/>
          <w:sz w:val="32"/>
          <w:szCs w:val="32"/>
          <w:lang w:val="en-US" w:eastAsia="zh-CN" w:bidi="ar-SA"/>
        </w:rPr>
        <w:t>二是聚力加强队伍建设。</w:t>
      </w:r>
      <w:r>
        <w:rPr>
          <w:rFonts w:hint="eastAsia" w:ascii="仿宋_GB2312" w:hAnsi="仿宋_GB2312" w:eastAsia="仿宋_GB2312" w:cs="仿宋_GB2312"/>
          <w:kern w:val="2"/>
          <w:sz w:val="32"/>
          <w:szCs w:val="32"/>
          <w:lang w:val="en-US" w:eastAsia="zh-CN" w:bidi="ar-SA"/>
        </w:rPr>
        <w:t>新进公务员2人、选调生2人、事业编4人、三支一扶落实编制1人、1名村党总支书记通过考核进入事业编队伍。动态调整村（社区）“两委”9人，储备培养村级党组织带头人后备力量22人，平均年龄38.9岁，大专以上学历16人。</w:t>
      </w:r>
      <w:r>
        <w:rPr>
          <w:rFonts w:hint="eastAsia" w:ascii="仿宋_GB2312" w:hAnsi="仿宋_GB2312" w:eastAsia="仿宋_GB2312" w:cs="仿宋_GB2312"/>
          <w:b/>
          <w:bCs/>
          <w:kern w:val="2"/>
          <w:sz w:val="32"/>
          <w:szCs w:val="32"/>
          <w:lang w:val="en-US" w:eastAsia="zh-CN" w:bidi="ar-SA"/>
        </w:rPr>
        <w:t>三是持续优化机关建设。</w:t>
      </w:r>
      <w:r>
        <w:rPr>
          <w:rFonts w:hint="eastAsia" w:ascii="仿宋_GB2312" w:hAnsi="仿宋_GB2312" w:eastAsia="仿宋_GB2312" w:cs="仿宋_GB2312"/>
          <w:kern w:val="2"/>
          <w:sz w:val="32"/>
          <w:szCs w:val="32"/>
          <w:lang w:val="en-US" w:eastAsia="zh-CN" w:bidi="ar-SA"/>
        </w:rPr>
        <w:t>对镇机关社保楼外LED大屏进行了更新改造升级、三楼会议室新增清廉大讲堂LED大屏，主办公楼一楼新增设LED横幅条屏，机关办公设施不断优化。职工活动室新购置了跑步机、哑铃凳等健身器材，进一步加强了干部队伍精神文明建设，干部业余文体生活不断丰富。</w:t>
      </w:r>
    </w:p>
    <w:p w14:paraId="0EE67C95">
      <w:pPr>
        <w:pStyle w:val="8"/>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七、存在的问题及原因分析</w:t>
      </w:r>
    </w:p>
    <w:p w14:paraId="31FF6D89">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一是部分绩效目标设置不够完备。</w:t>
      </w:r>
      <w:r>
        <w:rPr>
          <w:rFonts w:hint="eastAsia" w:ascii="Times New Roman" w:hAnsi="Times New Roman" w:eastAsia="仿宋_GB2312" w:cs="Times New Roman"/>
          <w:sz w:val="32"/>
          <w:szCs w:val="32"/>
          <w:lang w:val="en-US" w:eastAsia="zh-CN"/>
        </w:rPr>
        <w:t>对于项目支出，虽然设立了项目资金绩效目标，但部分目标设置不够明确、细化和量化。</w:t>
      </w:r>
      <w:r>
        <w:rPr>
          <w:rFonts w:hint="eastAsia" w:ascii="楷体_GB2312" w:hAnsi="楷体_GB2312" w:eastAsia="楷体_GB2312" w:cs="楷体_GB2312"/>
          <w:b/>
          <w:bCs/>
          <w:sz w:val="32"/>
          <w:szCs w:val="32"/>
          <w:lang w:val="en-US" w:eastAsia="zh-CN"/>
        </w:rPr>
        <w:t>二是部分项目预算执行率偏低。</w:t>
      </w:r>
      <w:r>
        <w:rPr>
          <w:rFonts w:hint="eastAsia" w:ascii="Times New Roman" w:hAnsi="Times New Roman" w:eastAsia="仿宋_GB2312" w:cs="Times New Roman"/>
          <w:sz w:val="32"/>
          <w:szCs w:val="32"/>
          <w:lang w:val="en-US" w:eastAsia="zh-CN"/>
        </w:rPr>
        <w:t>由于部分项目资金下达时间晚或资金未到位，一定程度上影响了资金的计划统筹使用。</w:t>
      </w:r>
    </w:p>
    <w:p w14:paraId="5D7D2FEB">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02851D73">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一是进一步规范绩效目标编制。</w:t>
      </w:r>
      <w:r>
        <w:rPr>
          <w:rFonts w:hint="eastAsia" w:ascii="仿宋_GB2312" w:hAnsi="仿宋_GB2312" w:eastAsia="仿宋_GB2312" w:cs="仿宋_GB2312"/>
          <w:sz w:val="32"/>
          <w:szCs w:val="32"/>
          <w:lang w:val="en-US" w:eastAsia="zh-CN"/>
        </w:rPr>
        <w:t>在编制项目绩效目标时，要求指向明确，细化量化，合理可行、相应匹配。以利于对工作的有效指导、过程的有效控制、结果的精确评价。</w:t>
      </w:r>
      <w:r>
        <w:rPr>
          <w:rFonts w:hint="eastAsia" w:ascii="仿宋_GB2312" w:hAnsi="仿宋_GB2312" w:eastAsia="仿宋_GB2312" w:cs="仿宋_GB2312"/>
          <w:b/>
          <w:bCs/>
          <w:sz w:val="32"/>
          <w:szCs w:val="32"/>
          <w:lang w:val="en-US" w:eastAsia="zh-CN"/>
        </w:rPr>
        <w:t>二是合理安排项目资金，加快支出进度。</w:t>
      </w:r>
      <w:r>
        <w:rPr>
          <w:rFonts w:hint="eastAsia" w:ascii="仿宋_GB2312" w:hAnsi="仿宋_GB2312" w:eastAsia="仿宋_GB2312" w:cs="仿宋_GB2312"/>
          <w:sz w:val="32"/>
          <w:szCs w:val="32"/>
          <w:lang w:val="en-US" w:eastAsia="zh-CN"/>
        </w:rPr>
        <w:t>年初下达的基本支出预算及时用款，足额保障单位正常运转。项目支出预算要加快执行，根据项目实施进度合法合规、及时办理资金支付手续。对于未及时拨付的资金，要加强与上级部门的沟通，保证资金落实到位。</w:t>
      </w:r>
    </w:p>
    <w:p w14:paraId="2D444993">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55FE8BF9">
      <w:pPr>
        <w:pStyle w:val="2"/>
        <w:keepNext w:val="0"/>
        <w:keepLines w:val="0"/>
        <w:pageBreakBefore w:val="0"/>
        <w:kinsoku/>
        <w:overflowPunct/>
        <w:topLinePunct w:val="0"/>
        <w:bidi w:val="0"/>
        <w:snapToGrid/>
        <w:spacing w:line="580" w:lineRule="exact"/>
        <w:ind w:firstLine="640" w:firstLineChars="200"/>
        <w:textAlignment w:val="auto"/>
        <w:rPr>
          <w:rFonts w:hint="default"/>
        </w:rPr>
      </w:pPr>
      <w:r>
        <w:rPr>
          <w:rFonts w:hint="eastAsia" w:ascii="Times New Roman" w:hAnsi="Times New Roman" w:eastAsia="仿宋_GB2312" w:cs="Times New Roman"/>
          <w:kern w:val="2"/>
          <w:sz w:val="32"/>
          <w:szCs w:val="32"/>
          <w:highlight w:val="none"/>
          <w:lang w:val="en-US" w:eastAsia="zh-CN" w:bidi="ar-SA"/>
        </w:rPr>
        <w:t>通过绩效自评，进一步掌握了资金使用情况和取得的效果，总结了专项资金管理经验，为今后完善年初预算编制、加强资金使用管理、健全资金支出项目、提高资金绩效管理、加大资金使用效益等工作提供了重要的参考依据。本单位整体支出绩效自评报告按照财政要求在规定的时间内在政府门户网站上进行公开，接受社会监督。</w:t>
      </w:r>
    </w:p>
    <w:p w14:paraId="16FDC1F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1B0513F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39F9F84A">
      <w:pPr>
        <w:pStyle w:val="10"/>
        <w:rPr>
          <w:rFonts w:hint="eastAsia"/>
          <w:lang w:eastAsia="zh-CN"/>
        </w:rPr>
      </w:pPr>
    </w:p>
    <w:p w14:paraId="54722B5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3FD9E47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0030284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6213F0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62AD799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543B05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C9843"/>
    <w:multiLevelType w:val="singleLevel"/>
    <w:tmpl w:val="021C9843"/>
    <w:lvl w:ilvl="0" w:tentative="0">
      <w:start w:val="4"/>
      <w:numFmt w:val="chineseCounting"/>
      <w:suff w:val="nothing"/>
      <w:lvlText w:val="%1、"/>
      <w:lvlJc w:val="left"/>
      <w:rPr>
        <w:rFonts w:hint="eastAsia"/>
      </w:rPr>
    </w:lvl>
  </w:abstractNum>
  <w:abstractNum w:abstractNumId="1">
    <w:nsid w:val="0D396049"/>
    <w:multiLevelType w:val="singleLevel"/>
    <w:tmpl w:val="0D396049"/>
    <w:lvl w:ilvl="0" w:tentative="0">
      <w:start w:val="2"/>
      <w:numFmt w:val="chineseCounting"/>
      <w:suff w:val="nothing"/>
      <w:lvlText w:val="（%1）"/>
      <w:lvlJc w:val="left"/>
      <w:rPr>
        <w:rFonts w:hint="eastAsia"/>
      </w:rPr>
    </w:lvl>
  </w:abstractNum>
  <w:abstractNum w:abstractNumId="2">
    <w:nsid w:val="5AC904A7"/>
    <w:multiLevelType w:val="singleLevel"/>
    <w:tmpl w:val="5AC904A7"/>
    <w:lvl w:ilvl="0" w:tentative="0">
      <w:start w:val="1"/>
      <w:numFmt w:val="chineseCounting"/>
      <w:suff w:val="nothing"/>
      <w:lvlText w:val="%1、"/>
      <w:lvlJc w:val="left"/>
      <w:rPr>
        <w:rFonts w:hint="eastAsia"/>
      </w:rPr>
    </w:lvl>
  </w:abstractNum>
  <w:abstractNum w:abstractNumId="3">
    <w:nsid w:val="6BED466B"/>
    <w:multiLevelType w:val="singleLevel"/>
    <w:tmpl w:val="6BED466B"/>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050B0AD1"/>
    <w:rsid w:val="06F15AA5"/>
    <w:rsid w:val="0744651C"/>
    <w:rsid w:val="0A0848EE"/>
    <w:rsid w:val="0C012C2E"/>
    <w:rsid w:val="10233173"/>
    <w:rsid w:val="130C4392"/>
    <w:rsid w:val="13631AD8"/>
    <w:rsid w:val="170812E0"/>
    <w:rsid w:val="19B105C1"/>
    <w:rsid w:val="1EF02DBA"/>
    <w:rsid w:val="20601879"/>
    <w:rsid w:val="24A563F4"/>
    <w:rsid w:val="29186B57"/>
    <w:rsid w:val="29537CE0"/>
    <w:rsid w:val="2B9E76FA"/>
    <w:rsid w:val="2C972AC7"/>
    <w:rsid w:val="2DEC26C6"/>
    <w:rsid w:val="305D0959"/>
    <w:rsid w:val="30AC28B9"/>
    <w:rsid w:val="3117323C"/>
    <w:rsid w:val="334D0383"/>
    <w:rsid w:val="37AD7642"/>
    <w:rsid w:val="3B984165"/>
    <w:rsid w:val="3EF21442"/>
    <w:rsid w:val="4359067E"/>
    <w:rsid w:val="47555600"/>
    <w:rsid w:val="47AB52F6"/>
    <w:rsid w:val="48E420E3"/>
    <w:rsid w:val="4A834233"/>
    <w:rsid w:val="4F774B7E"/>
    <w:rsid w:val="4FC155E1"/>
    <w:rsid w:val="520E0886"/>
    <w:rsid w:val="54027802"/>
    <w:rsid w:val="63D74F7B"/>
    <w:rsid w:val="66732CB7"/>
    <w:rsid w:val="6AD20E4B"/>
    <w:rsid w:val="6C44161C"/>
    <w:rsid w:val="6DD864C0"/>
    <w:rsid w:val="6DE31222"/>
    <w:rsid w:val="70251764"/>
    <w:rsid w:val="70926DFA"/>
    <w:rsid w:val="71000B8D"/>
    <w:rsid w:val="71AC3EEB"/>
    <w:rsid w:val="7D516DF8"/>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wordWrap w:val="0"/>
      <w:spacing w:after="160"/>
      <w:jc w:val="both"/>
      <w:outlineLvl w:val="0"/>
    </w:pPr>
    <w:rPr>
      <w:rFonts w:ascii="Calibri" w:hAnsi="Calibri" w:eastAsia="宋体" w:cs="Times New Roman"/>
      <w:kern w:val="2"/>
      <w:sz w:val="28"/>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正文文本首行缩进 21"/>
    <w:next w:val="1"/>
    <w:autoRedefine/>
    <w:qFormat/>
    <w:uiPriority w:val="0"/>
    <w:pPr>
      <w:widowControl w:val="0"/>
      <w:spacing w:after="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11">
    <w:name w:val="正文文本缩进1"/>
    <w:next w:val="10"/>
    <w:autoRedefine/>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3876</Words>
  <Characters>4126</Characters>
  <Lines>0</Lines>
  <Paragraphs>0</Paragraphs>
  <TotalTime>44</TotalTime>
  <ScaleCrop>false</ScaleCrop>
  <LinksUpToDate>false</LinksUpToDate>
  <CharactersWithSpaces>4126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孙悟空</cp:lastModifiedBy>
  <cp:lastPrinted>2025-08-27T09:31:00Z</cp:lastPrinted>
  <dcterms:modified xsi:type="dcterms:W3CDTF">2025-08-29T02:27:36Z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C758BC6BBF1444D0A1E299151111563A</vt:lpwstr>
  </property>
  <property fmtid="{D5CDD505-2E9C-101B-9397-08002B2CF9AE}" pid="4" name="KSOTemplateDocerSaveRecord">
    <vt:lpwstr>eyJoZGlkIjoiYzM0NGY1YzdkZmI2MWNmMGJkNDI4YmE5NzMzYmE2MDAiLCJ1c2VySWQiOiIyMDExMjM1NjAifQ==</vt:lpwstr>
  </property>
</Properties>
</file>