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6C89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CFDD2B4">
      <w:pPr>
        <w:jc w:val="center"/>
        <w:rPr>
          <w:rFonts w:hint="default" w:ascii="Times New Roman" w:hAnsi="Times New Roman" w:eastAsia="方正小标宋_GBK" w:cs="Times New Roman"/>
          <w:sz w:val="52"/>
          <w:szCs w:val="52"/>
        </w:rPr>
      </w:pPr>
    </w:p>
    <w:p w14:paraId="66C3025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组织部</w:t>
      </w:r>
      <w:r>
        <w:rPr>
          <w:rFonts w:hint="eastAsia" w:ascii="方正小标宋简体" w:hAnsi="方正小标宋简体" w:eastAsia="方正小标宋简体" w:cs="方正小标宋简体"/>
          <w:sz w:val="44"/>
          <w:szCs w:val="44"/>
        </w:rPr>
        <w:t>部门整体支出</w:t>
      </w:r>
    </w:p>
    <w:p w14:paraId="6627A22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D2C7AE9">
      <w:pPr>
        <w:jc w:val="center"/>
        <w:rPr>
          <w:rFonts w:hint="default" w:ascii="Times New Roman" w:hAnsi="Times New Roman" w:eastAsia="方正小标宋_GBK" w:cs="Times New Roman"/>
          <w:b/>
          <w:sz w:val="52"/>
          <w:szCs w:val="52"/>
        </w:rPr>
      </w:pPr>
    </w:p>
    <w:p w14:paraId="54713B48">
      <w:pPr>
        <w:jc w:val="center"/>
        <w:rPr>
          <w:rFonts w:hint="default" w:ascii="Times New Roman" w:hAnsi="Times New Roman" w:eastAsia="楷体_GB2312" w:cs="Times New Roman"/>
          <w:b/>
          <w:sz w:val="32"/>
          <w:szCs w:val="32"/>
        </w:rPr>
      </w:pPr>
    </w:p>
    <w:p w14:paraId="3F3D0EA4">
      <w:pPr>
        <w:jc w:val="center"/>
        <w:rPr>
          <w:rFonts w:hint="default" w:ascii="Times New Roman" w:hAnsi="Times New Roman" w:eastAsia="楷体_GB2312" w:cs="Times New Roman"/>
          <w:b/>
          <w:sz w:val="32"/>
          <w:szCs w:val="32"/>
        </w:rPr>
      </w:pPr>
    </w:p>
    <w:p w14:paraId="23833871">
      <w:pPr>
        <w:jc w:val="center"/>
        <w:rPr>
          <w:rFonts w:hint="default" w:ascii="Times New Roman" w:hAnsi="Times New Roman" w:eastAsia="楷体_GB2312" w:cs="Times New Roman"/>
          <w:b/>
          <w:sz w:val="32"/>
          <w:szCs w:val="32"/>
        </w:rPr>
      </w:pPr>
    </w:p>
    <w:p w14:paraId="0A0FA09E">
      <w:pPr>
        <w:jc w:val="both"/>
        <w:rPr>
          <w:rFonts w:hint="default" w:ascii="Times New Roman" w:hAnsi="Times New Roman" w:eastAsia="楷体_GB2312" w:cs="Times New Roman"/>
          <w:b/>
          <w:sz w:val="32"/>
          <w:szCs w:val="32"/>
        </w:rPr>
      </w:pPr>
    </w:p>
    <w:p w14:paraId="45F4A592">
      <w:pPr>
        <w:jc w:val="center"/>
        <w:rPr>
          <w:rFonts w:hint="default" w:ascii="Times New Roman" w:hAnsi="Times New Roman" w:eastAsia="楷体_GB2312" w:cs="Times New Roman"/>
          <w:b/>
          <w:sz w:val="32"/>
          <w:szCs w:val="32"/>
        </w:rPr>
      </w:pPr>
    </w:p>
    <w:p w14:paraId="40FB8B3A">
      <w:pPr>
        <w:jc w:val="center"/>
        <w:rPr>
          <w:rFonts w:hint="default" w:ascii="Times New Roman" w:hAnsi="Times New Roman" w:eastAsia="黑体" w:cs="Times New Roman"/>
          <w:sz w:val="32"/>
          <w:szCs w:val="32"/>
        </w:rPr>
      </w:pPr>
    </w:p>
    <w:p w14:paraId="6EBDB1EE">
      <w:pPr>
        <w:jc w:val="center"/>
        <w:rPr>
          <w:rFonts w:hint="default" w:ascii="Times New Roman" w:hAnsi="Times New Roman" w:eastAsia="黑体" w:cs="Times New Roman"/>
          <w:sz w:val="32"/>
          <w:szCs w:val="32"/>
        </w:rPr>
      </w:pPr>
    </w:p>
    <w:p w14:paraId="74570B3E">
      <w:pPr>
        <w:jc w:val="center"/>
        <w:rPr>
          <w:rFonts w:hint="default" w:ascii="Times New Roman" w:hAnsi="Times New Roman" w:eastAsia="黑体" w:cs="Times New Roman"/>
          <w:sz w:val="32"/>
          <w:szCs w:val="32"/>
        </w:rPr>
      </w:pPr>
    </w:p>
    <w:p w14:paraId="3F7FF0D7">
      <w:pPr>
        <w:jc w:val="center"/>
        <w:rPr>
          <w:rFonts w:hint="default" w:ascii="Times New Roman" w:hAnsi="Times New Roman" w:eastAsia="黑体" w:cs="Times New Roman"/>
          <w:sz w:val="32"/>
          <w:szCs w:val="32"/>
        </w:rPr>
      </w:pPr>
    </w:p>
    <w:p w14:paraId="738C0A3B">
      <w:pPr>
        <w:jc w:val="center"/>
        <w:rPr>
          <w:rFonts w:hint="default" w:ascii="Times New Roman" w:hAnsi="Times New Roman" w:eastAsia="黑体" w:cs="Times New Roman"/>
          <w:sz w:val="32"/>
          <w:szCs w:val="32"/>
        </w:rPr>
      </w:pPr>
    </w:p>
    <w:p w14:paraId="7006F513">
      <w:pPr>
        <w:jc w:val="center"/>
        <w:rPr>
          <w:rFonts w:hint="default" w:ascii="Times New Roman" w:hAnsi="Times New Roman" w:eastAsia="黑体" w:cs="Times New Roman"/>
          <w:sz w:val="32"/>
          <w:szCs w:val="32"/>
        </w:rPr>
      </w:pPr>
    </w:p>
    <w:p w14:paraId="382D829F">
      <w:pPr>
        <w:jc w:val="both"/>
        <w:rPr>
          <w:rFonts w:hint="default" w:ascii="Times New Roman" w:hAnsi="Times New Roman" w:eastAsia="黑体" w:cs="Times New Roman"/>
          <w:sz w:val="32"/>
          <w:szCs w:val="32"/>
        </w:rPr>
      </w:pPr>
    </w:p>
    <w:p w14:paraId="5B607F20">
      <w:pPr>
        <w:jc w:val="center"/>
        <w:rPr>
          <w:rFonts w:hint="default" w:ascii="Times New Roman" w:hAnsi="Times New Roman" w:eastAsia="黑体" w:cs="Times New Roman"/>
          <w:sz w:val="32"/>
          <w:szCs w:val="32"/>
        </w:rPr>
      </w:pPr>
    </w:p>
    <w:p w14:paraId="7FA199C2">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957C9E7">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14:paraId="37E47DF2">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4FE8D6C7">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部门整体支出</w:t>
      </w:r>
    </w:p>
    <w:p w14:paraId="1138B7D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45D2BF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649A2A1">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6EC25DDF">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（一）职能职责</w:t>
      </w:r>
    </w:p>
    <w:p w14:paraId="78C8D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研究并指导全区各行各业基层党组织建设;加强党的组织体系建设，推动全面从严治党向基层延伸；研究并提出全区党的组织制度、党内生活制度建设的意见;了解并研究基层党委贯彻执行民主集中制的情况，指导基层党委召开好领导班子民主生活会;了解与研究基层党组织建设中的新情况、新问题，总结推广党建工作的经验，提出加强基层党组织建设的意见和措施。</w:t>
      </w:r>
    </w:p>
    <w:p w14:paraId="28FDB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2.研究并指导党组织的设置、活动方式和领导方法的创新;总结表彰和宣传先进基层党组织、优秀党员、优秀党务工作者;指导各乡镇党委召开党代会的有关组织工作;负责党员状况的统计和分析工作;指导全区基层党组织党员教育工作。</w:t>
      </w:r>
    </w:p>
    <w:p w14:paraId="48F6E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3.了解和研究全区非公有制经济组织和社会组织党建工作情况，指导、协调和督查全区非公有制经济组织和社会组织党建工作;负责全区党员干部现代远程教育站点的规划、建设、管理、教学等的宏观管理、指导、协调和督查工作。</w:t>
      </w:r>
    </w:p>
    <w:p w14:paraId="24EB6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4.负责管理指导驻村扶贫工作，加强与部门单位的沟通协调，指导抓好选派“第一书记”和驻村工作队员，加强第一书记和驻村工作队员培训、管理、考核工作；及时掌握第一书记和驻村工作队工作开展情况。</w:t>
      </w:r>
    </w:p>
    <w:p w14:paraId="3D458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5.贯彻执行有关村（社区）干部政策规定,并督促、指导乡镇（街道）党（工）委抓好落实;负责村（社区）干部管理方面的宏观指导，指导乡镇（街道）党（工）委做好村（社区）党组织书记的选拔、培养、考察工作;研究拟定村（社区）干部建设规划，负责村（社区）党组织书记任免备案管理，指导抓好村（社区）干部的教育培训工作;负责大学生村官的教育、培养、管理和考核，定期了解大学生村官的工作状况。</w:t>
      </w:r>
    </w:p>
    <w:p w14:paraId="4819F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6.了解并研究党员思想状况和发挥先进性作用的情况，提出全区党员队伍建设、管理的意见和措施，并做好相关工作的组织实施和督促检查;了解和研究加强党员管理、监督的做法和经验，督促指导各基层党组织召开组织生活会、开展民主评议党员工作;了解并研究党员的需求，研究并组织实施服务党员的措施和办法;对发展党员工作进行宏观指导，研究并制定保证新党员质量的措施，做好入党积极分子的培训、考核以及发展对象材料的预审等工作;负责党费的收缴、使用和管理工作；做好党员和党组织信息系统管理维护工作，负责党员组织关系转接工作;负责老党员及生活困难党员慰问管理工作。</w:t>
      </w:r>
    </w:p>
    <w:p w14:paraId="0563D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7.制订和参与制订组织、干部、人事工作的重要政策、规章、制度，并对重要经验进行总结推介。了解掌握区委管理的领导班子运行情况和干部工作生活等情况，提出加强干部队伍建设的意见和建议，负责乡镇领导班子换届选举和届中调整的有关工作。考察区委管理的领导班子和领导干部，提出区委管理的领导班子调整、配备的意见和建议。</w:t>
      </w:r>
    </w:p>
    <w:p w14:paraId="79CC9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8.负责协助办理市委管理的干部职务任免、工资、待遇、退休的呈报；负责协助市委组织部对市委管理的干部进行考察和考核等工作；负责办理省人大、省政协和市人大、市政协有关人选的提名、推荐工作。承办区委管理干部职务任免、交流、工资待遇、退休审批等相关工作；负责培养选拔年轻干部、女干部、少数民族干部和党外干部工作。</w:t>
      </w:r>
    </w:p>
    <w:p w14:paraId="49C8F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9.负责全区公务员队伍建设的规划、协调和宏观指导；组织指导实施公务员法工作，督促检查有关法律法规政策的贯彻落实；负责全区公务员和参照公务员法管理工作人员的考录、考核、工资福利、交流、调配、培训、退休、申诉控告、晋升、辞职等工作；负责全区公务员管理信息系统的建立、使用和管理。</w:t>
      </w:r>
    </w:p>
    <w:p w14:paraId="15D5C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10.负责全区干部监督管理工作，提出加强对领导干部监督和防止用人上不正之风的意见和建议；受理乡科级领导班子和领导干部的有关举报；负责对上级机关和领导干部交办、转办的举报件进行调查核实，提出处理意见；负责对有关领导干部进行提醒、函询和诫勉谈话。负责党员领导干部报告个人有关事项，办理全区因私出国（境）人员的审批工作，管理部分市委管理干部和乡科级干部的出国（境）证照。组织、协调乡科级党政领导干部经济责任审计工作。</w:t>
      </w:r>
    </w:p>
    <w:p w14:paraId="607AB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11.负责全区公务员、参照公务员管理人员和乡科级干部相关信息的认定，负责干部信息和全区公务员、参照公务员管理人员和乡科级干部人事档案的管理、转递，承担有关信息服务工作。</w:t>
      </w:r>
    </w:p>
    <w:p w14:paraId="2C197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12.负责全区干部教育培训工作的管理，研究制订全区干部教育培训的政策、规划，组织协调干部的培训工作。</w:t>
      </w:r>
    </w:p>
    <w:p w14:paraId="4CCD91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13.制订或参与制订有关人才工作的政策、规定，指导、协调、检查人才工作；负责建立和管理人才信息库，组织、指导开展活动；负责区委人才工作领导小组办公室的日常工作。</w:t>
      </w:r>
    </w:p>
    <w:p w14:paraId="5ABFD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14.宣传贯彻上级关于老干部工作的方针、政策、法规，认真做好离休干部和副处级以上退休干部的安置、管理工作。</w:t>
      </w:r>
    </w:p>
    <w:p w14:paraId="09BD5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15.承担全市绩效考核情况综合、工作协调以及市直单位绩效考核、市直单位市管领导班子和领导干部考核等工作。承担重点任务考核督查和县市区、产业园区绩效考核，以及县市区、产业园区市管领导班子和领导干部考核等工作</w:t>
      </w:r>
    </w:p>
    <w:p w14:paraId="466A6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微软雅黑" w:hAnsi="微软雅黑" w:eastAsia="微软雅黑" w:cs="微软雅黑"/>
          <w:i w:val="0"/>
          <w:iCs w:val="0"/>
          <w:caps w:val="0"/>
          <w:color w:val="2B2B2B"/>
          <w:spacing w:val="0"/>
          <w:sz w:val="22"/>
          <w:szCs w:val="22"/>
        </w:rPr>
      </w:pPr>
      <w:r>
        <w:rPr>
          <w:rFonts w:hint="eastAsia" w:ascii="Times New Roman" w:hAnsi="Times New Roman" w:eastAsia="仿宋_GB2312" w:cs="仿宋_GB2312"/>
          <w:kern w:val="0"/>
          <w:sz w:val="32"/>
          <w:szCs w:val="32"/>
          <w:lang w:val="en-US" w:eastAsia="zh-CN" w:bidi="ar-SA"/>
        </w:rPr>
        <w:t>　　16.承办市委组织部和区委、区管委交办的其他事项。</w:t>
      </w:r>
    </w:p>
    <w:p w14:paraId="04A9456E">
      <w:pPr>
        <w:widowControl/>
        <w:spacing w:line="600" w:lineRule="exact"/>
        <w:ind w:firstLine="320" w:firstLineChars="100"/>
        <w:rPr>
          <w:rFonts w:hint="eastAsia" w:eastAsia="仿宋_GB2312" w:cs="仿宋_GB2312"/>
          <w:kern w:val="0"/>
          <w:sz w:val="32"/>
          <w:szCs w:val="32"/>
        </w:rPr>
      </w:pPr>
      <w:r>
        <w:rPr>
          <w:rFonts w:hint="eastAsia" w:eastAsia="仿宋_GB2312" w:cs="仿宋_GB2312"/>
          <w:kern w:val="0"/>
          <w:sz w:val="32"/>
          <w:szCs w:val="32"/>
        </w:rPr>
        <w:t>（二）机构设置</w:t>
      </w:r>
    </w:p>
    <w:p w14:paraId="3A990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区委组织部机关核定行政编制8名；核定领导职数8名，其中：部长1名，常务副部长1名，副部长3名（其中一名兼任区委非公有制经济组织和社会组织工作委员会党工委书记，正科级领导职数），区委直属机关工作委员会专职副书记1名，区委非公有制经济组织和社会组织工作委员会专职副书记1名，区委基层党建工作领导小组办公室主任1名；</w:t>
      </w:r>
    </w:p>
    <w:p w14:paraId="7CAF2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2、区委组织部党员教育中心，为副科级行政类事业单位，核定全额拨款事业编制5名，核定领导职数1名，其中主任1名；</w:t>
      </w:r>
    </w:p>
    <w:p w14:paraId="11C44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3、区委老干部活动中心，为副科级公益类事业单位，核定全额拨款事业编制4名，核定领导职数1名，其中主任1名。</w:t>
      </w:r>
    </w:p>
    <w:p w14:paraId="13349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本年度我单位预算编制在职人员16人。</w:t>
      </w:r>
    </w:p>
    <w:p w14:paraId="6446687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二、一般公共预算支出情况</w:t>
      </w:r>
    </w:p>
    <w:p w14:paraId="53A6E7E7">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3810D1A3">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186.22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154.32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82.87</w:t>
      </w:r>
      <w:r>
        <w:rPr>
          <w:rFonts w:hint="eastAsia" w:asciiTheme="minorEastAsia" w:hAnsiTheme="minorEastAsia" w:eastAsiaTheme="minorEastAsia"/>
          <w:sz w:val="32"/>
          <w:szCs w:val="32"/>
        </w:rPr>
        <w:t>%,主要包括：基本工资、津贴补贴、奖金、机关事业单位基本养老保险缴费、其他社会保障缴费、住房公积金等；公用经费</w:t>
      </w:r>
      <w:r>
        <w:rPr>
          <w:rFonts w:hint="eastAsia" w:asciiTheme="minorEastAsia" w:hAnsiTheme="minorEastAsia"/>
          <w:sz w:val="32"/>
          <w:szCs w:val="32"/>
          <w:lang w:val="en-US" w:eastAsia="zh-CN"/>
        </w:rPr>
        <w:t>31.90</w:t>
      </w:r>
      <w:r>
        <w:rPr>
          <w:rFonts w:hint="eastAsia" w:asciiTheme="minorEastAsia" w:hAnsiTheme="minorEastAsia" w:eastAsiaTheme="minorEastAsia"/>
          <w:sz w:val="32"/>
          <w:szCs w:val="32"/>
        </w:rPr>
        <w:t>元，占基本支出的</w:t>
      </w:r>
      <w:r>
        <w:rPr>
          <w:rFonts w:hint="eastAsia" w:asciiTheme="minorEastAsia" w:hAnsiTheme="minorEastAsia"/>
          <w:sz w:val="32"/>
          <w:szCs w:val="32"/>
          <w:lang w:val="en-US" w:eastAsia="zh-CN"/>
        </w:rPr>
        <w:t>17.13</w:t>
      </w:r>
      <w:r>
        <w:rPr>
          <w:rFonts w:hint="eastAsia" w:asciiTheme="minorEastAsia" w:hAnsiTheme="minorEastAsia" w:eastAsiaTheme="minorEastAsia"/>
          <w:sz w:val="32"/>
          <w:szCs w:val="32"/>
        </w:rPr>
        <w:t>%，主要包括：办公费、印刷费、邮电费、差旅费、维修（护）费、公务接待费、</w:t>
      </w:r>
      <w:r>
        <w:rPr>
          <w:rFonts w:hint="eastAsia" w:asciiTheme="minorEastAsia" w:hAnsiTheme="minorEastAsia" w:eastAsiaTheme="minorEastAsia"/>
          <w:sz w:val="32"/>
          <w:szCs w:val="32"/>
          <w:lang w:val="en-US" w:eastAsia="zh-CN"/>
        </w:rPr>
        <w:t>租赁</w:t>
      </w:r>
      <w:r>
        <w:rPr>
          <w:rFonts w:hint="eastAsia" w:asciiTheme="minorEastAsia" w:hAnsiTheme="minorEastAsia" w:eastAsiaTheme="minorEastAsia"/>
          <w:sz w:val="32"/>
          <w:szCs w:val="32"/>
        </w:rPr>
        <w:t>费、工会经费、其他交通费</w:t>
      </w:r>
      <w:r>
        <w:rPr>
          <w:rFonts w:hint="eastAsia" w:asciiTheme="minorEastAsia" w:hAnsiTheme="minorEastAsia" w:eastAsiaTheme="minorEastAsia"/>
          <w:sz w:val="32"/>
          <w:szCs w:val="32"/>
          <w:lang w:val="en-US" w:eastAsia="zh-CN"/>
        </w:rPr>
        <w:t>用</w:t>
      </w:r>
      <w:r>
        <w:rPr>
          <w:rFonts w:hint="eastAsia" w:asciiTheme="minorEastAsia" w:hAnsiTheme="minorEastAsia" w:eastAsiaTheme="minorEastAsia"/>
          <w:sz w:val="32"/>
          <w:szCs w:val="32"/>
        </w:rPr>
        <w:t>、其他商品和服务支出等。</w:t>
      </w:r>
    </w:p>
    <w:p w14:paraId="65192E16">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344FFFFF">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cs="Times New Roman" w:asciiTheme="minorEastAsia" w:hAnsiTheme="minorEastAsia" w:eastAsiaTheme="minorEastAsia"/>
          <w:kern w:val="2"/>
          <w:sz w:val="32"/>
          <w:szCs w:val="32"/>
          <w:lang w:val="en-US" w:eastAsia="zh-CN" w:bidi="ar-SA"/>
        </w:rPr>
      </w:pPr>
      <w:r>
        <w:rPr>
          <w:rFonts w:hint="eastAsia" w:ascii="Times New Roman" w:hAnsi="Times New Roman" w:eastAsia="楷体_GB2312" w:cs="Times New Roman"/>
          <w:b/>
          <w:sz w:val="32"/>
          <w:szCs w:val="32"/>
          <w:lang w:val="en-US" w:eastAsia="zh-CN"/>
        </w:rPr>
        <w:t xml:space="preserve">     </w:t>
      </w:r>
      <w:r>
        <w:rPr>
          <w:rFonts w:hint="eastAsia" w:cs="Times New Roman" w:asciiTheme="minorEastAsia" w:hAnsiTheme="minorEastAsia" w:eastAsiaTheme="minorEastAsia"/>
          <w:kern w:val="2"/>
          <w:sz w:val="32"/>
          <w:szCs w:val="32"/>
          <w:lang w:val="en-US" w:eastAsia="zh-CN" w:bidi="ar-SA"/>
        </w:rPr>
        <w:t>2024年度财政拨款项目支出212.93万元，是指单位为完成特定行政工作任务或事业发展目标而发生的支出，主要用于组织部各线工作运转、老干部管理及活动经费、老干部（代干）生活补助、建国初期革命生活补贴及医疗补贴、驻村工作队经费、主题教育、人才专项等方面。</w:t>
      </w:r>
    </w:p>
    <w:p w14:paraId="64B29F00">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6665D14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6EDC8390">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54E1693E">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5CC8E3A">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社会保险基金预算支出情况</w:t>
      </w:r>
    </w:p>
    <w:p w14:paraId="55F13951">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7FCF9E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DD8A3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根据预算绩效管理要求，</w:t>
      </w:r>
      <w:r>
        <w:rPr>
          <w:rFonts w:hint="eastAsia" w:ascii="Times New Roman" w:hAnsi="Times New Roman" w:eastAsia="仿宋_GB2312" w:cs="Times New Roman"/>
          <w:color w:val="000000"/>
          <w:sz w:val="32"/>
          <w:szCs w:val="32"/>
          <w:lang w:val="en-US" w:eastAsia="zh-CN"/>
        </w:rPr>
        <w:t>我部门</w:t>
      </w:r>
      <w:r>
        <w:rPr>
          <w:rFonts w:hint="eastAsia" w:ascii="Times New Roman" w:hAnsi="Times New Roman" w:eastAsia="仿宋_GB2312" w:cs="Times New Roman"/>
          <w:color w:val="000000"/>
          <w:sz w:val="32"/>
          <w:szCs w:val="32"/>
          <w:lang w:eastAsia="zh-CN"/>
        </w:rPr>
        <w:t>组织对单位开展整体支出绩效评价，涉及一般公共预算支出</w:t>
      </w:r>
      <w:r>
        <w:rPr>
          <w:rFonts w:hint="eastAsia" w:ascii="Times New Roman" w:hAnsi="Times New Roman" w:eastAsia="仿宋_GB2312" w:cs="Times New Roman"/>
          <w:color w:val="000000"/>
          <w:sz w:val="32"/>
          <w:szCs w:val="32"/>
          <w:lang w:val="en-US" w:eastAsia="zh-CN"/>
        </w:rPr>
        <w:t>399.15</w:t>
      </w:r>
      <w:r>
        <w:rPr>
          <w:rFonts w:hint="eastAsia" w:ascii="Times New Roman" w:hAnsi="Times New Roman" w:eastAsia="仿宋_GB2312" w:cs="Times New Roman"/>
          <w:color w:val="000000"/>
          <w:sz w:val="32"/>
          <w:szCs w:val="32"/>
          <w:lang w:eastAsia="zh-CN"/>
        </w:rPr>
        <w:t>万元，政府性基金预算支出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国有资本经营预算支出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社会保险基金预算支出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万元。从评价来看，</w:t>
      </w:r>
      <w:r>
        <w:rPr>
          <w:rFonts w:hint="eastAsia" w:ascii="Times New Roman" w:hAnsi="Times New Roman" w:eastAsia="仿宋_GB2312" w:cs="Times New Roman"/>
          <w:color w:val="000000"/>
          <w:sz w:val="32"/>
          <w:szCs w:val="32"/>
          <w:lang w:val="en-US" w:eastAsia="zh-CN"/>
        </w:rPr>
        <w:t>单位整体绩效管理情况均为优秀，能够及时完成年初预算绩效目标。单位整体绩效支出决策、执行过程、产出及效益情况均符合绩效管理相关规定。</w:t>
      </w:r>
    </w:p>
    <w:p w14:paraId="42B807B4">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A4EABB7">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lang w:val="en-US" w:eastAsia="zh-CN"/>
        </w:rPr>
        <w:t>绩效目标细化不到位，2024年项目绩效目标从总体上对项目的数量、质量、时效和成本指标进行了细化，但对具体单个项目的预期实施成果目标细化不到位，未能分解可衡量的绩效目标，主要原因系规划项目涉及多个科室多部门，目前我部未能做到统筹管理，统一绩效目标设置标准要求。</w:t>
      </w:r>
    </w:p>
    <w:p w14:paraId="2FCA83D7">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1EF4D5E8">
      <w:pPr>
        <w:spacing w:line="600" w:lineRule="exact"/>
        <w:ind w:firstLine="210" w:firstLineChars="100"/>
        <w:rPr>
          <w:rFonts w:hint="eastAsia" w:ascii="仿宋" w:hAnsi="仿宋" w:eastAsia="仿宋" w:cs="仿宋"/>
          <w:sz w:val="32"/>
          <w:szCs w:val="32"/>
          <w:highlight w:val="none"/>
        </w:rPr>
      </w:pPr>
      <w:r>
        <w:rPr>
          <w:rFonts w:hint="eastAsia"/>
          <w:highlight w:val="none"/>
          <w:lang w:val="en-US" w:eastAsia="zh-CN"/>
        </w:rPr>
        <w:t xml:space="preserve">      </w:t>
      </w:r>
      <w:r>
        <w:rPr>
          <w:rFonts w:hint="eastAsia" w:ascii="仿宋" w:hAnsi="仿宋" w:eastAsia="仿宋" w:cs="仿宋"/>
          <w:b w:val="0"/>
          <w:bCs w:val="0"/>
          <w:color w:val="2B2B2B"/>
          <w:kern w:val="2"/>
          <w:sz w:val="32"/>
          <w:szCs w:val="32"/>
          <w:highlight w:val="none"/>
          <w:lang w:val="en-US" w:eastAsia="zh-CN" w:bidi="ar-SA"/>
        </w:rPr>
        <w:t>1、强化部门决算编审工作，提高数据质量；</w:t>
      </w:r>
      <w:r>
        <w:rPr>
          <w:rFonts w:hint="eastAsia" w:ascii="仿宋" w:hAnsi="仿宋" w:eastAsia="仿宋" w:cs="仿宋"/>
          <w:sz w:val="32"/>
          <w:szCs w:val="32"/>
          <w:highlight w:val="none"/>
          <w:lang w:val="en-US" w:eastAsia="zh-CN"/>
        </w:rPr>
        <w:t>2、</w:t>
      </w:r>
      <w:r>
        <w:rPr>
          <w:rFonts w:hint="eastAsia" w:ascii="仿宋" w:hAnsi="仿宋" w:eastAsia="仿宋" w:cs="仿宋"/>
          <w:b w:val="0"/>
          <w:bCs w:val="0"/>
          <w:color w:val="2B2B2B"/>
          <w:kern w:val="2"/>
          <w:sz w:val="32"/>
          <w:szCs w:val="32"/>
          <w:highlight w:val="none"/>
          <w:lang w:val="en-US" w:eastAsia="zh-CN" w:bidi="ar-SA"/>
        </w:rPr>
        <w:t>强化责任意识，提高对决算重要认识；3、做好分析，提高决算分析水平；4、强化部门决算监督检查，提高部门决算水平。</w:t>
      </w:r>
    </w:p>
    <w:p w14:paraId="173030D4">
      <w:pPr>
        <w:pStyle w:val="2"/>
        <w:numPr>
          <w:numId w:val="0"/>
        </w:numPr>
        <w:rPr>
          <w:rFonts w:hint="default" w:eastAsia="宋体"/>
          <w:highlight w:val="none"/>
          <w:lang w:val="en-US" w:eastAsia="zh-CN"/>
        </w:rPr>
      </w:pPr>
    </w:p>
    <w:p w14:paraId="75DB5520">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31F4F511">
      <w:pPr>
        <w:widowControl/>
        <w:numPr>
          <w:ilvl w:val="0"/>
          <w:numId w:val="0"/>
        </w:numPr>
        <w:spacing w:line="240" w:lineRule="auto"/>
        <w:ind w:firstLine="0" w:firstLineChars="0"/>
        <w:rPr>
          <w:rFonts w:hint="eastAsia" w:ascii="仿宋" w:hAnsi="仿宋" w:eastAsia="仿宋" w:cs="仿宋"/>
          <w:b w:val="0"/>
          <w:bCs w:val="0"/>
          <w:color w:val="2B2B2B"/>
          <w:sz w:val="32"/>
          <w:szCs w:val="32"/>
          <w:highlight w:val="none"/>
        </w:rPr>
      </w:pPr>
      <w:r>
        <w:rPr>
          <w:rFonts w:hint="eastAsia"/>
          <w:highlight w:val="none"/>
          <w:lang w:val="en-US" w:eastAsia="zh-CN"/>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b w:val="0"/>
          <w:bCs w:val="0"/>
          <w:color w:val="2B2B2B"/>
          <w:sz w:val="32"/>
          <w:szCs w:val="32"/>
          <w:highlight w:val="none"/>
          <w:lang w:val="en-US" w:eastAsia="zh-CN"/>
        </w:rPr>
        <w:t>1、</w:t>
      </w:r>
      <w:r>
        <w:rPr>
          <w:rFonts w:hint="eastAsia" w:ascii="仿宋" w:hAnsi="仿宋" w:eastAsia="仿宋" w:cs="仿宋"/>
          <w:b w:val="0"/>
          <w:bCs w:val="0"/>
          <w:color w:val="2B2B2B"/>
          <w:sz w:val="32"/>
          <w:szCs w:val="32"/>
          <w:highlight w:val="none"/>
        </w:rPr>
        <w:t>部门整体支出绩效自评报告按照财政要求在规定时间内在本单位门户网站上进行公开，接受社会监督。</w:t>
      </w:r>
    </w:p>
    <w:p w14:paraId="06CE3865">
      <w:pPr>
        <w:widowControl/>
        <w:spacing w:line="240" w:lineRule="auto"/>
        <w:ind w:firstLine="320" w:firstLineChars="100"/>
        <w:rPr>
          <w:rFonts w:hint="default" w:eastAsia="宋体"/>
          <w:highlight w:val="none"/>
          <w:lang w:val="en-US" w:eastAsia="zh-CN"/>
        </w:rPr>
      </w:pPr>
      <w:r>
        <w:rPr>
          <w:rFonts w:hint="eastAsia" w:ascii="仿宋" w:hAnsi="仿宋" w:eastAsia="仿宋" w:cs="仿宋"/>
          <w:b w:val="0"/>
          <w:bCs w:val="0"/>
          <w:color w:val="2B2B2B"/>
          <w:sz w:val="32"/>
          <w:szCs w:val="32"/>
          <w:highlight w:val="none"/>
          <w:lang w:val="en-US" w:eastAsia="zh-CN"/>
        </w:rPr>
        <w:t>2、</w:t>
      </w:r>
      <w:r>
        <w:rPr>
          <w:rFonts w:hint="eastAsia" w:ascii="仿宋" w:hAnsi="仿宋" w:eastAsia="仿宋" w:cs="仿宋"/>
          <w:b w:val="0"/>
          <w:bCs w:val="0"/>
          <w:color w:val="2B2B2B"/>
          <w:sz w:val="32"/>
          <w:szCs w:val="32"/>
          <w:highlight w:val="none"/>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2C1F9D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14:paraId="11A230FC">
      <w:pPr>
        <w:pStyle w:val="6"/>
        <w:rPr>
          <w:rFonts w:hint="default" w:eastAsia="黑体"/>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spacing w:val="11"/>
          <w:kern w:val="2"/>
          <w:sz w:val="32"/>
          <w:szCs w:val="32"/>
          <w:highlight w:val="none"/>
          <w:lang w:val="en-US" w:eastAsia="zh-CN" w:bidi="ar-SA"/>
        </w:rPr>
        <w:t>无</w:t>
      </w:r>
    </w:p>
    <w:p w14:paraId="0D5396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4798E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报告需要以下附件：</w:t>
      </w:r>
    </w:p>
    <w:p w14:paraId="2010AC7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770F09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024EA3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51D98CA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14:paraId="14987A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1785"/>
    <w:multiLevelType w:val="singleLevel"/>
    <w:tmpl w:val="A1DD1785"/>
    <w:lvl w:ilvl="0" w:tentative="0">
      <w:start w:val="2"/>
      <w:numFmt w:val="chineseCounting"/>
      <w:suff w:val="nothing"/>
      <w:lvlText w:val="（%1）"/>
      <w:lvlJc w:val="left"/>
      <w:rPr>
        <w:rFonts w:hint="eastAsia"/>
      </w:rPr>
    </w:lvl>
  </w:abstractNum>
  <w:abstractNum w:abstractNumId="1">
    <w:nsid w:val="21E7223A"/>
    <w:multiLevelType w:val="singleLevel"/>
    <w:tmpl w:val="21E7223A"/>
    <w:lvl w:ilvl="0" w:tentative="0">
      <w:start w:val="8"/>
      <w:numFmt w:val="chineseCounting"/>
      <w:suff w:val="nothing"/>
      <w:lvlText w:val="%1、"/>
      <w:lvlJc w:val="left"/>
      <w:rPr>
        <w:rFonts w:hint="eastAsia"/>
      </w:rPr>
    </w:lvl>
  </w:abstractNum>
  <w:abstractNum w:abstractNumId="2">
    <w:nsid w:val="4A83565E"/>
    <w:multiLevelType w:val="singleLevel"/>
    <w:tmpl w:val="4A83565E"/>
    <w:lvl w:ilvl="0" w:tentative="0">
      <w:start w:val="1"/>
      <w:numFmt w:val="chineseCounting"/>
      <w:suff w:val="nothing"/>
      <w:lvlText w:val="%1、"/>
      <w:lvlJc w:val="left"/>
      <w:rPr>
        <w:rFonts w:hint="eastAsia"/>
      </w:rPr>
    </w:lvl>
  </w:abstractNum>
  <w:abstractNum w:abstractNumId="3">
    <w:nsid w:val="4F081AB1"/>
    <w:multiLevelType w:val="singleLevel"/>
    <w:tmpl w:val="4F081AB1"/>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ZWRhYzZjZjlhODZjMmU4MjY2NTZmYzkwOGJkMmMifQ=="/>
  </w:docVars>
  <w:rsids>
    <w:rsidRoot w:val="170812E0"/>
    <w:rsid w:val="0DC65D7D"/>
    <w:rsid w:val="11F97B3E"/>
    <w:rsid w:val="129F1751"/>
    <w:rsid w:val="170812E0"/>
    <w:rsid w:val="23AC1F4E"/>
    <w:rsid w:val="29537CE0"/>
    <w:rsid w:val="3EF21442"/>
    <w:rsid w:val="3F9F0FA4"/>
    <w:rsid w:val="52C91D98"/>
    <w:rsid w:val="67083BB2"/>
    <w:rsid w:val="745824CD"/>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BodyText1I"/>
    <w:basedOn w:val="1"/>
    <w:qFormat/>
    <w:uiPriority w:val="99"/>
    <w:pPr>
      <w:snapToGrid w:val="0"/>
      <w:spacing w:line="360" w:lineRule="auto"/>
      <w:ind w:firstLine="420" w:firstLineChars="100"/>
    </w:pPr>
    <w:rPr>
      <w:sz w:val="28"/>
      <w:szCs w:val="20"/>
    </w:r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805</Words>
  <Characters>856</Characters>
  <Lines>0</Lines>
  <Paragraphs>0</Paragraphs>
  <TotalTime>0</TotalTime>
  <ScaleCrop>false</ScaleCrop>
  <LinksUpToDate>false</LinksUpToDate>
  <CharactersWithSpaces>875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cp:lastModifiedBy>
  <dcterms:modified xsi:type="dcterms:W3CDTF">2025-08-19T03:04:10Z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C758BC6BBF1444D0A1E299151111563A</vt:lpwstr>
  </property>
  <property fmtid="{D5CDD505-2E9C-101B-9397-08002B2CF9AE}" pid="4" name="KSOTemplateDocerSaveRecord">
    <vt:lpwstr>eyJoZGlkIjoiYjRmODU4NGMzNDEwZmY4MTU3ZTZkNGVhZjI4ZDRiYmUiLCJ1c2VySWQiOiI0NDAwMDY0OTgifQ==</vt:lpwstr>
  </property>
</Properties>
</file>