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区文联</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jc w:val="center"/>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年  月  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eastAsia" w:ascii="方正小标宋简体" w:hAnsi="方正小标宋简体" w:eastAsia="方正小标宋简体" w:cs="方正小标宋简体"/>
          <w:sz w:val="44"/>
          <w:szCs w:val="44"/>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区文联</w:t>
      </w:r>
      <w:r>
        <w:rPr>
          <w:rFonts w:hint="eastAsia" w:ascii="方正小标宋简体" w:hAnsi="方正小标宋简体" w:eastAsia="方正小标宋简体" w:cs="方正小标宋简体"/>
          <w:sz w:val="44"/>
          <w:szCs w:val="44"/>
        </w:rPr>
        <w:t>部门整体支出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lang w:val="en-US" w:eastAsia="zh-CN"/>
        </w:rPr>
        <w:t xml:space="preserve">  </w:t>
      </w:r>
      <w:r>
        <w:rPr>
          <w:rFonts w:hint="eastAsia" w:ascii="仿宋_GB2312" w:hAnsi="仿宋_GB2312" w:eastAsia="仿宋_GB2312" w:cs="仿宋_GB2312"/>
          <w:color w:val="000000"/>
          <w:kern w:val="2"/>
          <w:sz w:val="32"/>
          <w:szCs w:val="32"/>
          <w:lang w:val="en-US" w:eastAsia="zh-CN" w:bidi="ar-SA"/>
        </w:rPr>
        <w:t>1、对各文艺团体会员开展组织、指导、联络、协调、服务工作；团结广大文艺工作者，繁荣和发展文学艺术事业，弘扬民族优秀文化。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2、组织文艺工作者学习政治理论，开展创作和理论研讨活动，提高文艺家和文艺工作者的思想和艺术水平；发现和培养文艺人才，壮大文艺队伍。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3、沟通同党、政府、社会各界之间的联系渠道，共同发展本县的文化艺术事业。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4、密切与各兄弟县市文艺界的联系，加强与全国各地及港澳台文艺团体、文艺界人才的联系交流。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5、维护宪法和法律所赋予团体会员及文艺工作者的权益；增强自身发展能力，改善工作和文艺创作条件。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6、承办区委、区管委和市文联交办的其他事项。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both"/>
        <w:textAlignment w:val="auto"/>
        <w:rPr>
          <w:rFonts w:hint="default" w:eastAsia="宋体"/>
          <w:lang w:val="en-US" w:eastAsia="zh-CN"/>
        </w:rPr>
      </w:pPr>
      <w:r>
        <w:rPr>
          <w:rFonts w:hint="eastAsia" w:ascii="仿宋_GB2312" w:hAnsi="仿宋_GB2312" w:eastAsia="仿宋_GB2312" w:cs="仿宋_GB2312"/>
          <w:color w:val="000000"/>
          <w:kern w:val="2"/>
          <w:sz w:val="32"/>
          <w:szCs w:val="32"/>
          <w:lang w:val="en-US" w:eastAsia="zh-CN" w:bidi="ar-SA"/>
        </w:rPr>
        <w:t>根据区编办核定，区文联机关内设综合办公室1个，有事业管理编制3名，领导职数2名，设主席1名，副主席1名，工作人员1名。</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楷体_GB2312" w:cs="Times New Roman"/>
          <w:b/>
          <w:sz w:val="32"/>
          <w:szCs w:val="32"/>
        </w:rPr>
      </w:pP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年基本支出为</w:t>
      </w:r>
      <w:r>
        <w:rPr>
          <w:rFonts w:hint="eastAsia" w:eastAsia="仿宋_GB2312" w:cs="仿宋_GB2312"/>
          <w:kern w:val="0"/>
          <w:sz w:val="32"/>
          <w:szCs w:val="32"/>
          <w:lang w:val="en-US" w:eastAsia="zh-CN"/>
        </w:rPr>
        <w:t>42.54</w:t>
      </w:r>
      <w:r>
        <w:rPr>
          <w:rFonts w:hint="eastAsia" w:eastAsia="仿宋_GB2312" w:cs="仿宋_GB2312"/>
          <w:kern w:val="0"/>
          <w:sz w:val="32"/>
          <w:szCs w:val="32"/>
          <w:lang w:eastAsia="zh-CN"/>
        </w:rPr>
        <w:t>万元，是指为保障单位机构正常运转、完成日常工作任务而发生的各项支出，</w:t>
      </w:r>
      <w:r>
        <w:rPr>
          <w:rFonts w:hint="eastAsia" w:eastAsia="仿宋_GB2312" w:cs="仿宋_GB2312"/>
          <w:kern w:val="0"/>
          <w:sz w:val="32"/>
          <w:szCs w:val="32"/>
          <w:lang w:val="en-US" w:eastAsia="zh-CN"/>
        </w:rPr>
        <w:t>其中：</w:t>
      </w:r>
      <w:r>
        <w:rPr>
          <w:rFonts w:hint="eastAsia" w:eastAsia="仿宋_GB2312" w:cs="仿宋_GB2312"/>
          <w:kern w:val="0"/>
          <w:sz w:val="32"/>
          <w:szCs w:val="32"/>
          <w:lang w:eastAsia="zh-CN"/>
        </w:rPr>
        <w:t>工资福利支出</w:t>
      </w:r>
      <w:r>
        <w:rPr>
          <w:rFonts w:hint="eastAsia" w:eastAsia="仿宋_GB2312" w:cs="仿宋_GB2312"/>
          <w:kern w:val="0"/>
          <w:sz w:val="32"/>
          <w:szCs w:val="32"/>
          <w:lang w:val="en-US" w:eastAsia="zh-CN"/>
        </w:rPr>
        <w:t>39.2</w:t>
      </w:r>
      <w:r>
        <w:rPr>
          <w:rFonts w:hint="eastAsia" w:eastAsia="仿宋_GB2312" w:cs="仿宋_GB2312"/>
          <w:kern w:val="0"/>
          <w:sz w:val="32"/>
          <w:szCs w:val="32"/>
          <w:lang w:eastAsia="zh-CN"/>
        </w:rPr>
        <w:t>万元，商品和服务支出</w:t>
      </w:r>
      <w:r>
        <w:rPr>
          <w:rFonts w:hint="eastAsia" w:eastAsia="仿宋_GB2312" w:cs="仿宋_GB2312"/>
          <w:kern w:val="0"/>
          <w:sz w:val="32"/>
          <w:szCs w:val="32"/>
          <w:lang w:val="en-US" w:eastAsia="zh-CN"/>
        </w:rPr>
        <w:t>3.34</w:t>
      </w:r>
      <w:r>
        <w:rPr>
          <w:rFonts w:hint="eastAsia" w:eastAsia="仿宋_GB2312" w:cs="仿宋_GB2312"/>
          <w:kern w:val="0"/>
          <w:sz w:val="32"/>
          <w:szCs w:val="32"/>
          <w:lang w:eastAsia="zh-CN"/>
        </w:rPr>
        <w:t>万元。</w:t>
      </w:r>
    </w:p>
    <w:p>
      <w:pPr>
        <w:pStyle w:val="7"/>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7"/>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eastAsia="仿宋_GB2312" w:cs="仿宋_GB2312"/>
          <w:kern w:val="0"/>
          <w:sz w:val="32"/>
          <w:szCs w:val="32"/>
          <w:lang w:eastAsia="zh-CN"/>
        </w:rPr>
      </w:pPr>
      <w:r>
        <w:rPr>
          <w:rFonts w:hint="eastAsia" w:ascii="Times New Roman" w:hAnsi="Times New Roman" w:eastAsia="楷体_GB2312" w:cs="Times New Roman"/>
          <w:b/>
          <w:sz w:val="32"/>
          <w:szCs w:val="32"/>
          <w:lang w:val="en-US" w:eastAsia="zh-CN"/>
        </w:rPr>
        <w:t xml:space="preserve"> </w:t>
      </w:r>
      <w:r>
        <w:rPr>
          <w:rFonts w:hint="eastAsia" w:eastAsia="仿宋_GB2312" w:cs="仿宋_GB2312"/>
          <w:kern w:val="0"/>
          <w:sz w:val="32"/>
          <w:szCs w:val="32"/>
          <w:lang w:eastAsia="zh-CN"/>
        </w:rPr>
        <w:t>202</w:t>
      </w:r>
      <w:r>
        <w:rPr>
          <w:rFonts w:hint="eastAsia" w:eastAsia="仿宋_GB2312" w:cs="仿宋_GB2312"/>
          <w:kern w:val="0"/>
          <w:sz w:val="32"/>
          <w:szCs w:val="32"/>
          <w:lang w:val="en-US" w:eastAsia="zh-CN"/>
        </w:rPr>
        <w:t>4</w:t>
      </w:r>
      <w:r>
        <w:rPr>
          <w:rFonts w:hint="eastAsia" w:eastAsia="仿宋_GB2312" w:cs="仿宋_GB2312"/>
          <w:kern w:val="0"/>
          <w:sz w:val="32"/>
          <w:szCs w:val="32"/>
          <w:lang w:eastAsia="zh-CN"/>
        </w:rPr>
        <w:t>年</w:t>
      </w:r>
      <w:r>
        <w:rPr>
          <w:rFonts w:hint="eastAsia" w:eastAsia="仿宋_GB2312" w:cs="仿宋_GB2312"/>
          <w:kern w:val="0"/>
          <w:sz w:val="32"/>
          <w:szCs w:val="32"/>
        </w:rPr>
        <w:t>项目支出为</w:t>
      </w:r>
      <w:r>
        <w:rPr>
          <w:rFonts w:hint="eastAsia" w:eastAsia="仿宋_GB2312" w:cs="仿宋_GB2312"/>
          <w:kern w:val="0"/>
          <w:sz w:val="32"/>
          <w:szCs w:val="32"/>
          <w:lang w:val="en-US" w:eastAsia="zh-CN"/>
        </w:rPr>
        <w:t>16</w:t>
      </w:r>
      <w:r>
        <w:rPr>
          <w:rFonts w:hint="eastAsia" w:eastAsia="仿宋_GB2312" w:cs="仿宋_GB2312"/>
          <w:kern w:val="0"/>
          <w:sz w:val="32"/>
          <w:szCs w:val="32"/>
        </w:rPr>
        <w:t>万元，是指单位为完成特定行政工作任务或事业发展目标而发生的支出，包括有关业务工作经费和运行维护经费。</w:t>
      </w:r>
      <w:r>
        <w:rPr>
          <w:rFonts w:hint="eastAsia" w:eastAsia="仿宋_GB2312" w:cs="仿宋_GB2312"/>
          <w:kern w:val="0"/>
          <w:sz w:val="32"/>
          <w:szCs w:val="32"/>
          <w:lang w:val="en-US" w:eastAsia="zh-CN"/>
        </w:rPr>
        <w:t>主要为文联专项工作经费16万元</w:t>
      </w:r>
      <w:r>
        <w:rPr>
          <w:rFonts w:hint="eastAsia" w:eastAsia="仿宋_GB2312" w:cs="仿宋_GB2312"/>
          <w:kern w:val="0"/>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政府性基金预算支出情况</w:t>
      </w:r>
      <w:r>
        <w:rPr>
          <w:rFonts w:hint="eastAsia" w:ascii="Times New Roman" w:hAnsi="Times New Roman" w:eastAsia="黑体" w:cs="Times New Roman"/>
          <w:sz w:val="32"/>
          <w:szCs w:val="32"/>
          <w:lang w:eastAsia="zh-CN"/>
        </w:rPr>
        <w:t>：</w:t>
      </w:r>
    </w:p>
    <w:p>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仿宋" w:hAnsi="仿宋" w:eastAsia="仿宋" w:cs="仿宋"/>
          <w:b w:val="0"/>
          <w:bCs/>
          <w:sz w:val="32"/>
          <w:szCs w:val="32"/>
          <w:lang w:val="en-US" w:eastAsia="zh-CN"/>
        </w:rPr>
        <w:t>本单位无政府性基金预算支出情况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国有资本经营预算支出情况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仿宋" w:hAnsi="仿宋" w:eastAsia="仿宋" w:cs="仿宋"/>
          <w:b w:val="0"/>
          <w:bCs/>
          <w:sz w:val="32"/>
          <w:szCs w:val="32"/>
          <w:lang w:val="en-US" w:eastAsia="zh-CN"/>
        </w:rPr>
        <w:t>本单位无国有资本经营预算支出情况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w:t>
      </w:r>
      <w:r>
        <w:rPr>
          <w:rFonts w:hint="eastAsia"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社会保险基金预算支出情况</w:t>
      </w:r>
    </w:p>
    <w:p>
      <w:pPr>
        <w:pStyle w:val="7"/>
        <w:keepNext w:val="0"/>
        <w:keepLines w:val="0"/>
        <w:pageBreakBefore w:val="0"/>
        <w:widowControl/>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Times New Roman" w:hAnsi="Times New Roman" w:eastAsia="黑体" w:cs="Times New Roman"/>
          <w:sz w:val="32"/>
          <w:szCs w:val="32"/>
        </w:rPr>
      </w:pPr>
      <w:r>
        <w:rPr>
          <w:rFonts w:hint="eastAsia" w:ascii="仿宋" w:hAnsi="仿宋" w:eastAsia="仿宋" w:cs="仿宋"/>
          <w:b w:val="0"/>
          <w:bCs/>
          <w:sz w:val="32"/>
          <w:szCs w:val="32"/>
          <w:lang w:val="en-US" w:eastAsia="zh-CN"/>
        </w:rPr>
        <w:t>本单位无社会保险基金预算支出情况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pStyle w:val="7"/>
        <w:keepNext w:val="0"/>
        <w:keepLines w:val="0"/>
        <w:pageBreakBefore w:val="0"/>
        <w:widowControl/>
        <w:kinsoku/>
        <w:wordWrap/>
        <w:overflowPunct/>
        <w:topLinePunct w:val="0"/>
        <w:autoSpaceDE/>
        <w:autoSpaceDN/>
        <w:bidi w:val="0"/>
        <w:adjustRightInd/>
        <w:snapToGrid/>
        <w:spacing w:line="500" w:lineRule="exact"/>
        <w:ind w:firstLine="600" w:firstLineChars="200"/>
        <w:jc w:val="both"/>
        <w:textAlignment w:val="auto"/>
        <w:rPr>
          <w:rFonts w:hint="default" w:ascii="Times New Roman" w:hAnsi="Times New Roman" w:eastAsia="仿宋_GB2312" w:cs="Times New Roman"/>
          <w:color w:val="000000"/>
          <w:sz w:val="32"/>
          <w:szCs w:val="32"/>
        </w:rPr>
      </w:pP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rPr>
        <w:t>02</w:t>
      </w:r>
      <w:r>
        <w:rPr>
          <w:rFonts w:hint="eastAsia" w:ascii="仿宋" w:hAnsi="仿宋" w:eastAsia="仿宋" w:cs="仿宋"/>
          <w:b w:val="0"/>
          <w:bCs w:val="0"/>
          <w:color w:val="auto"/>
          <w:sz w:val="30"/>
          <w:szCs w:val="30"/>
          <w:lang w:val="en-US" w:eastAsia="zh-CN"/>
        </w:rPr>
        <w:t>4</w:t>
      </w:r>
      <w:r>
        <w:rPr>
          <w:rFonts w:hint="eastAsia" w:ascii="仿宋" w:hAnsi="仿宋" w:eastAsia="仿宋" w:cs="仿宋"/>
          <w:b w:val="0"/>
          <w:bCs w:val="0"/>
          <w:color w:val="auto"/>
          <w:sz w:val="30"/>
          <w:szCs w:val="30"/>
        </w:rPr>
        <w:t>年部门预算包括本级预算和所含预算单位在内的汇总情况。本单位202</w:t>
      </w:r>
      <w:r>
        <w:rPr>
          <w:rFonts w:hint="eastAsia" w:ascii="仿宋" w:hAnsi="仿宋" w:eastAsia="仿宋" w:cs="仿宋"/>
          <w:b w:val="0"/>
          <w:bCs w:val="0"/>
          <w:color w:val="auto"/>
          <w:sz w:val="30"/>
          <w:szCs w:val="30"/>
          <w:lang w:val="en-US" w:eastAsia="zh-CN"/>
        </w:rPr>
        <w:t>4</w:t>
      </w:r>
      <w:r>
        <w:rPr>
          <w:rFonts w:hint="eastAsia" w:ascii="仿宋" w:hAnsi="仿宋" w:eastAsia="仿宋" w:cs="仿宋"/>
          <w:b w:val="0"/>
          <w:bCs w:val="0"/>
          <w:color w:val="auto"/>
          <w:sz w:val="30"/>
          <w:szCs w:val="30"/>
        </w:rPr>
        <w:t>年没有政府性基金预算拨款和纳入专户管理的非税收入拨款收入，也没有使用政府性基金预算拨款和纳入专户管理的非税收入拨款安排的支出。收入包括经常性拨款、专项经费拨款；支出包括保障单位基本运行的经费，也包括项目经费。202</w:t>
      </w:r>
      <w:r>
        <w:rPr>
          <w:rFonts w:hint="eastAsia" w:ascii="仿宋" w:hAnsi="仿宋" w:eastAsia="仿宋" w:cs="仿宋"/>
          <w:b w:val="0"/>
          <w:bCs w:val="0"/>
          <w:color w:val="auto"/>
          <w:sz w:val="30"/>
          <w:szCs w:val="30"/>
          <w:lang w:val="en-US" w:eastAsia="zh-CN"/>
        </w:rPr>
        <w:t>4</w:t>
      </w:r>
      <w:r>
        <w:rPr>
          <w:rFonts w:hint="eastAsia" w:ascii="仿宋" w:hAnsi="仿宋" w:eastAsia="仿宋" w:cs="仿宋"/>
          <w:b w:val="0"/>
          <w:bCs w:val="0"/>
          <w:color w:val="auto"/>
          <w:sz w:val="30"/>
          <w:szCs w:val="30"/>
        </w:rPr>
        <w:t>年</w:t>
      </w:r>
      <w:r>
        <w:rPr>
          <w:rFonts w:hint="eastAsia" w:ascii="仿宋" w:hAnsi="仿宋" w:eastAsia="仿宋" w:cs="仿宋"/>
          <w:b w:val="0"/>
          <w:bCs w:val="0"/>
          <w:color w:val="auto"/>
          <w:sz w:val="30"/>
          <w:szCs w:val="30"/>
          <w:lang w:eastAsia="zh-CN"/>
        </w:rPr>
        <w:t>整体支出</w:t>
      </w:r>
      <w:r>
        <w:rPr>
          <w:rFonts w:hint="eastAsia" w:ascii="仿宋" w:hAnsi="仿宋" w:eastAsia="仿宋" w:cs="仿宋"/>
          <w:b w:val="0"/>
          <w:bCs w:val="0"/>
          <w:color w:val="auto"/>
          <w:sz w:val="30"/>
          <w:szCs w:val="30"/>
          <w:lang w:val="en-US" w:eastAsia="zh-CN"/>
        </w:rPr>
        <w:t>58.54</w:t>
      </w:r>
      <w:r>
        <w:rPr>
          <w:rFonts w:hint="eastAsia" w:ascii="仿宋" w:hAnsi="仿宋" w:eastAsia="仿宋" w:cs="仿宋"/>
          <w:b w:val="0"/>
          <w:bCs w:val="0"/>
          <w:color w:val="auto"/>
          <w:sz w:val="30"/>
          <w:szCs w:val="30"/>
        </w:rPr>
        <w:t>万元，基本支出</w:t>
      </w:r>
      <w:r>
        <w:rPr>
          <w:rFonts w:hint="eastAsia" w:ascii="仿宋" w:hAnsi="仿宋" w:eastAsia="仿宋" w:cs="仿宋"/>
          <w:b w:val="0"/>
          <w:bCs w:val="0"/>
          <w:color w:val="auto"/>
          <w:sz w:val="30"/>
          <w:szCs w:val="30"/>
          <w:lang w:val="en-US" w:eastAsia="zh-CN"/>
        </w:rPr>
        <w:t>42.54</w:t>
      </w:r>
      <w:r>
        <w:rPr>
          <w:rFonts w:hint="eastAsia" w:ascii="仿宋" w:hAnsi="仿宋" w:eastAsia="仿宋" w:cs="仿宋"/>
          <w:b w:val="0"/>
          <w:bCs w:val="0"/>
          <w:color w:val="auto"/>
          <w:sz w:val="30"/>
          <w:szCs w:val="30"/>
        </w:rPr>
        <w:t>万元，</w:t>
      </w:r>
      <w:r>
        <w:rPr>
          <w:rFonts w:hint="eastAsia" w:ascii="仿宋" w:hAnsi="仿宋" w:eastAsia="仿宋" w:cs="仿宋"/>
          <w:b w:val="0"/>
          <w:bCs w:val="0"/>
          <w:color w:val="auto"/>
          <w:sz w:val="30"/>
          <w:szCs w:val="30"/>
          <w:lang w:eastAsia="zh-CN"/>
        </w:rPr>
        <w:t>其中</w:t>
      </w:r>
      <w:r>
        <w:rPr>
          <w:rFonts w:hint="eastAsia" w:ascii="仿宋" w:hAnsi="仿宋" w:eastAsia="仿宋" w:cs="仿宋"/>
          <w:b w:val="0"/>
          <w:bCs w:val="0"/>
          <w:color w:val="auto"/>
          <w:sz w:val="30"/>
          <w:szCs w:val="30"/>
        </w:rPr>
        <w:t>：工资福利支出</w:t>
      </w:r>
      <w:r>
        <w:rPr>
          <w:rFonts w:hint="eastAsia" w:ascii="仿宋" w:hAnsi="仿宋" w:eastAsia="仿宋" w:cs="仿宋"/>
          <w:b w:val="0"/>
          <w:bCs w:val="0"/>
          <w:color w:val="auto"/>
          <w:sz w:val="30"/>
          <w:szCs w:val="30"/>
          <w:lang w:val="en-US" w:eastAsia="zh-CN"/>
        </w:rPr>
        <w:t>39.2</w:t>
      </w:r>
      <w:r>
        <w:rPr>
          <w:rFonts w:hint="eastAsia" w:ascii="仿宋" w:hAnsi="仿宋" w:eastAsia="仿宋" w:cs="仿宋"/>
          <w:b w:val="0"/>
          <w:bCs w:val="0"/>
          <w:color w:val="auto"/>
          <w:sz w:val="30"/>
          <w:szCs w:val="30"/>
        </w:rPr>
        <w:t>万元、一般商品和服务支出</w:t>
      </w:r>
      <w:r>
        <w:rPr>
          <w:rFonts w:hint="eastAsia" w:ascii="仿宋" w:hAnsi="仿宋" w:eastAsia="仿宋" w:cs="仿宋"/>
          <w:b w:val="0"/>
          <w:bCs w:val="0"/>
          <w:color w:val="auto"/>
          <w:sz w:val="30"/>
          <w:szCs w:val="30"/>
          <w:lang w:val="en-US" w:eastAsia="zh-CN"/>
        </w:rPr>
        <w:t>3.34</w:t>
      </w:r>
      <w:r>
        <w:rPr>
          <w:rFonts w:hint="eastAsia" w:ascii="仿宋" w:hAnsi="仿宋" w:eastAsia="仿宋" w:cs="仿宋"/>
          <w:b w:val="0"/>
          <w:bCs w:val="0"/>
          <w:color w:val="auto"/>
          <w:sz w:val="30"/>
          <w:szCs w:val="30"/>
        </w:rPr>
        <w:t>万元；项目支出</w:t>
      </w:r>
      <w:r>
        <w:rPr>
          <w:rFonts w:hint="eastAsia" w:ascii="仿宋" w:hAnsi="仿宋" w:eastAsia="仿宋" w:cs="仿宋"/>
          <w:b w:val="0"/>
          <w:bCs w:val="0"/>
          <w:color w:val="auto"/>
          <w:sz w:val="30"/>
          <w:szCs w:val="30"/>
          <w:lang w:val="en-US" w:eastAsia="zh-CN"/>
        </w:rPr>
        <w:t>16</w:t>
      </w:r>
      <w:r>
        <w:rPr>
          <w:rFonts w:hint="eastAsia" w:ascii="仿宋" w:hAnsi="仿宋" w:eastAsia="仿宋" w:cs="仿宋"/>
          <w:b w:val="0"/>
          <w:bCs w:val="0"/>
          <w:color w:val="auto"/>
          <w:sz w:val="30"/>
          <w:szCs w:val="30"/>
        </w:rPr>
        <w:t>万元，</w:t>
      </w:r>
      <w:r>
        <w:rPr>
          <w:rFonts w:hint="eastAsia" w:ascii="仿宋" w:hAnsi="仿宋" w:eastAsia="仿宋" w:cs="仿宋"/>
          <w:b w:val="0"/>
          <w:bCs w:val="0"/>
          <w:color w:val="auto"/>
          <w:sz w:val="30"/>
          <w:szCs w:val="30"/>
          <w:lang w:eastAsia="zh-CN"/>
        </w:rPr>
        <w:t>其中：</w:t>
      </w:r>
      <w:r>
        <w:rPr>
          <w:rFonts w:hint="eastAsia" w:ascii="仿宋" w:hAnsi="仿宋" w:eastAsia="仿宋" w:cs="仿宋"/>
          <w:b w:val="0"/>
          <w:bCs/>
          <w:color w:val="auto"/>
          <w:sz w:val="32"/>
          <w:szCs w:val="32"/>
          <w:lang w:val="en-US" w:eastAsia="zh-CN"/>
        </w:rPr>
        <w:t>文联经费、文学艺术界工作经费16万元。</w:t>
      </w:r>
    </w:p>
    <w:p>
      <w:pPr>
        <w:pStyle w:val="7"/>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七、存在的问题及原因分析</w:t>
      </w:r>
    </w:p>
    <w:p>
      <w:pPr>
        <w:pStyle w:val="8"/>
        <w:keepNext w:val="0"/>
        <w:keepLines w:val="0"/>
        <w:pageBreakBefore w:val="0"/>
        <w:kinsoku/>
        <w:wordWrap/>
        <w:overflowPunct/>
        <w:topLinePunct w:val="0"/>
        <w:bidi w:val="0"/>
        <w:snapToGrid/>
        <w:spacing w:line="500" w:lineRule="exact"/>
        <w:ind w:firstLine="600" w:firstLineChars="200"/>
        <w:jc w:val="both"/>
        <w:textAlignment w:val="auto"/>
        <w:rPr>
          <w:rFonts w:hint="eastAsia" w:ascii="仿宋" w:hAnsi="仿宋" w:eastAsia="仿宋" w:cs="仿宋"/>
          <w:b w:val="0"/>
          <w:bCs w:val="0"/>
          <w:color w:val="2B2B2B"/>
          <w:kern w:val="2"/>
          <w:sz w:val="30"/>
          <w:szCs w:val="30"/>
          <w:lang w:val="en-US" w:eastAsia="zh-CN" w:bidi="ar-SA"/>
        </w:rPr>
      </w:pPr>
      <w:r>
        <w:rPr>
          <w:rFonts w:hint="eastAsia" w:ascii="仿宋" w:hAnsi="仿宋" w:eastAsia="仿宋" w:cs="仿宋"/>
          <w:b w:val="0"/>
          <w:bCs w:val="0"/>
          <w:color w:val="2B2B2B"/>
          <w:kern w:val="2"/>
          <w:sz w:val="30"/>
          <w:szCs w:val="30"/>
          <w:lang w:val="en-US" w:eastAsia="zh-CN" w:bidi="ar-SA"/>
        </w:rPr>
        <w:t>1、提高部门预算、决算编制工作水平。</w:t>
      </w:r>
    </w:p>
    <w:p>
      <w:pPr>
        <w:pStyle w:val="8"/>
        <w:keepNext w:val="0"/>
        <w:keepLines w:val="0"/>
        <w:pageBreakBefore w:val="0"/>
        <w:kinsoku/>
        <w:wordWrap/>
        <w:overflowPunct/>
        <w:topLinePunct w:val="0"/>
        <w:bidi w:val="0"/>
        <w:snapToGrid/>
        <w:spacing w:line="500" w:lineRule="exact"/>
        <w:ind w:firstLine="600" w:firstLineChars="200"/>
        <w:jc w:val="both"/>
        <w:textAlignment w:val="auto"/>
        <w:rPr>
          <w:rFonts w:hint="eastAsia" w:ascii="仿宋" w:hAnsi="仿宋" w:eastAsia="仿宋" w:cs="仿宋"/>
          <w:b w:val="0"/>
          <w:bCs w:val="0"/>
          <w:color w:val="2B2B2B"/>
          <w:kern w:val="2"/>
          <w:sz w:val="30"/>
          <w:szCs w:val="30"/>
          <w:lang w:val="en-US" w:eastAsia="zh-CN" w:bidi="ar-SA"/>
        </w:rPr>
      </w:pPr>
      <w:r>
        <w:rPr>
          <w:rFonts w:hint="eastAsia" w:ascii="仿宋" w:hAnsi="仿宋" w:eastAsia="仿宋" w:cs="仿宋"/>
          <w:b w:val="0"/>
          <w:bCs w:val="0"/>
          <w:color w:val="2B2B2B"/>
          <w:kern w:val="2"/>
          <w:sz w:val="30"/>
          <w:szCs w:val="30"/>
          <w:lang w:val="en-US" w:eastAsia="zh-CN" w:bidi="ar-SA"/>
        </w:rPr>
        <w:t>2、准确编制预决算报表，做到收支清晰，内容完整，报送及时。</w:t>
      </w:r>
    </w:p>
    <w:p>
      <w:pPr>
        <w:pStyle w:val="8"/>
        <w:keepNext w:val="0"/>
        <w:keepLines w:val="0"/>
        <w:pageBreakBefore w:val="0"/>
        <w:kinsoku/>
        <w:wordWrap/>
        <w:overflowPunct/>
        <w:topLinePunct w:val="0"/>
        <w:bidi w:val="0"/>
        <w:snapToGrid/>
        <w:spacing w:line="500" w:lineRule="exact"/>
        <w:ind w:firstLine="600" w:firstLineChars="200"/>
        <w:jc w:val="both"/>
        <w:textAlignment w:val="auto"/>
        <w:rPr>
          <w:rFonts w:hint="default" w:ascii="仿宋" w:hAnsi="仿宋" w:eastAsia="仿宋" w:cs="仿宋"/>
          <w:b w:val="0"/>
          <w:bCs w:val="0"/>
          <w:color w:val="2B2B2B"/>
          <w:kern w:val="2"/>
          <w:sz w:val="30"/>
          <w:szCs w:val="30"/>
          <w:lang w:val="en-US" w:eastAsia="zh-CN" w:bidi="ar-SA"/>
        </w:rPr>
      </w:pPr>
      <w:r>
        <w:rPr>
          <w:rFonts w:hint="eastAsia" w:ascii="仿宋" w:hAnsi="仿宋" w:eastAsia="仿宋" w:cs="仿宋"/>
          <w:b w:val="0"/>
          <w:bCs w:val="0"/>
          <w:color w:val="2B2B2B"/>
          <w:kern w:val="2"/>
          <w:sz w:val="30"/>
          <w:szCs w:val="30"/>
          <w:lang w:val="en-US" w:eastAsia="zh-CN" w:bidi="ar-SA"/>
        </w:rPr>
        <w:t>3、加强资产及政府采购管理。</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八、下一步改进措施</w:t>
      </w:r>
    </w:p>
    <w:p>
      <w:pPr>
        <w:pStyle w:val="3"/>
        <w:keepNext w:val="0"/>
        <w:keepLines w:val="0"/>
        <w:pageBreakBefore w:val="0"/>
        <w:numPr>
          <w:ilvl w:val="0"/>
          <w:numId w:val="0"/>
        </w:numPr>
        <w:kinsoku/>
        <w:wordWrap/>
        <w:overflowPunct/>
        <w:topLinePunct w:val="0"/>
        <w:autoSpaceDE/>
        <w:bidi w:val="0"/>
        <w:adjustRightInd/>
        <w:snapToGrid/>
        <w:spacing w:line="500" w:lineRule="exact"/>
        <w:ind w:firstLine="600" w:firstLineChars="200"/>
        <w:jc w:val="both"/>
        <w:textAlignment w:val="auto"/>
        <w:rPr>
          <w:rFonts w:hint="default"/>
          <w:lang w:val="en-US" w:eastAsia="zh-CN"/>
        </w:rPr>
      </w:pPr>
      <w:r>
        <w:rPr>
          <w:rFonts w:hint="eastAsia" w:ascii="仿宋" w:hAnsi="仿宋" w:eastAsia="仿宋" w:cs="仿宋"/>
          <w:b w:val="0"/>
          <w:bCs w:val="0"/>
          <w:color w:val="2B2B2B"/>
          <w:kern w:val="2"/>
          <w:sz w:val="30"/>
          <w:szCs w:val="30"/>
          <w:lang w:val="en-US" w:eastAsia="zh-CN" w:bidi="ar-SA"/>
        </w:rPr>
        <w:t>1、加强财务人员业务培训，提高编制水平。</w:t>
      </w:r>
    </w:p>
    <w:p>
      <w:pPr>
        <w:pStyle w:val="3"/>
        <w:keepNext w:val="0"/>
        <w:keepLines w:val="0"/>
        <w:pageBreakBefore w:val="0"/>
        <w:numPr>
          <w:ilvl w:val="0"/>
          <w:numId w:val="0"/>
        </w:numPr>
        <w:kinsoku/>
        <w:wordWrap/>
        <w:overflowPunct/>
        <w:topLinePunct w:val="0"/>
        <w:autoSpaceDE/>
        <w:bidi w:val="0"/>
        <w:adjustRightInd/>
        <w:snapToGrid/>
        <w:spacing w:line="500" w:lineRule="exact"/>
        <w:ind w:firstLine="600" w:firstLineChars="200"/>
        <w:jc w:val="both"/>
        <w:textAlignment w:val="auto"/>
        <w:rPr>
          <w:rFonts w:hint="default" w:eastAsia="黑体"/>
          <w:lang w:val="en-US" w:eastAsia="zh-CN"/>
        </w:rPr>
      </w:pPr>
      <w:r>
        <w:rPr>
          <w:rFonts w:hint="eastAsia" w:ascii="仿宋" w:hAnsi="仿宋" w:eastAsia="仿宋" w:cs="仿宋"/>
          <w:b w:val="0"/>
          <w:bCs w:val="0"/>
          <w:color w:val="2B2B2B"/>
          <w:kern w:val="2"/>
          <w:sz w:val="30"/>
          <w:szCs w:val="30"/>
          <w:lang w:val="en-US" w:eastAsia="zh-CN" w:bidi="ar-SA"/>
        </w:rPr>
        <w:t>2、严格按照预决算编制执行，确保</w:t>
      </w:r>
      <w:r>
        <w:rPr>
          <w:rFonts w:hint="eastAsia" w:ascii="仿宋" w:hAnsi="仿宋" w:eastAsia="仿宋" w:cs="仿宋"/>
          <w:b w:val="0"/>
          <w:bCs w:val="0"/>
          <w:color w:val="2B2B2B"/>
          <w:sz w:val="30"/>
          <w:szCs w:val="30"/>
          <w:lang w:val="en-US" w:eastAsia="zh-CN"/>
        </w:rPr>
        <w:t>按时按质按量完成年初绩效目标。</w:t>
      </w:r>
      <w:bookmarkStart w:id="0" w:name="_GoBack"/>
      <w:bookmarkEnd w:id="0"/>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pStyle w:val="3"/>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_GB2312" w:cs="Times New Roman"/>
          <w:spacing w:val="11"/>
          <w:kern w:val="2"/>
          <w:sz w:val="32"/>
          <w:szCs w:val="32"/>
          <w:lang w:val="en-US" w:eastAsia="zh-CN" w:bidi="ar-SA"/>
        </w:rPr>
      </w:pPr>
      <w:r>
        <w:rPr>
          <w:rFonts w:hint="eastAsia" w:ascii="Times New Roman" w:hAnsi="Times New Roman" w:eastAsia="仿宋_GB2312" w:cs="Times New Roman"/>
          <w:spacing w:val="11"/>
          <w:kern w:val="2"/>
          <w:sz w:val="32"/>
          <w:szCs w:val="32"/>
          <w:lang w:val="en-US" w:eastAsia="zh-CN" w:bidi="ar-SA"/>
        </w:rPr>
        <w:t>（一）、通过绩效自评，进一步掌握了资金使用情况和取得的效果，总结了专项资金管理经验，为今后完善年初预算编制、加强资金使用管理、健全资金支出项目、提高资金绩效管理、加大资金使用效益工作提供了重要的参考依据。</w:t>
      </w:r>
    </w:p>
    <w:p>
      <w:pPr>
        <w:pStyle w:val="2"/>
        <w:keepNext w:val="0"/>
        <w:keepLines w:val="0"/>
        <w:pageBreakBefore w:val="0"/>
        <w:numPr>
          <w:ilvl w:val="0"/>
          <w:numId w:val="0"/>
        </w:numPr>
        <w:kinsoku/>
        <w:wordWrap/>
        <w:overflowPunct/>
        <w:topLinePunct w:val="0"/>
        <w:bidi w:val="0"/>
        <w:snapToGrid/>
        <w:spacing w:line="500" w:lineRule="exact"/>
        <w:ind w:firstLine="342" w:firstLineChars="100"/>
        <w:jc w:val="both"/>
        <w:textAlignment w:val="auto"/>
        <w:rPr>
          <w:rFonts w:hint="default" w:eastAsia="宋体"/>
          <w:lang w:val="en-US" w:eastAsia="zh-CN"/>
        </w:rPr>
      </w:pPr>
      <w:r>
        <w:rPr>
          <w:rFonts w:hint="eastAsia" w:ascii="Times New Roman" w:hAnsi="Times New Roman" w:eastAsia="仿宋_GB2312" w:cs="Times New Roman"/>
          <w:spacing w:val="11"/>
          <w:kern w:val="2"/>
          <w:sz w:val="32"/>
          <w:szCs w:val="32"/>
          <w:lang w:val="en-US" w:eastAsia="zh-CN" w:bidi="ar-SA"/>
        </w:rPr>
        <w:t>（二）、部门整体支出绩效自评报告按照财政要求在规定时间内在政府门户网站上进行公开，接受社会监督。</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黑体" w:cs="Times New Roman"/>
          <w:sz w:val="32"/>
          <w:szCs w:val="32"/>
          <w:lang w:val="en-US" w:eastAsia="zh-CN"/>
        </w:rPr>
        <w:t xml:space="preserve">  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51711"/>
    <w:multiLevelType w:val="singleLevel"/>
    <w:tmpl w:val="C6451711"/>
    <w:lvl w:ilvl="0" w:tentative="0">
      <w:start w:val="2"/>
      <w:numFmt w:val="chineseCounting"/>
      <w:suff w:val="nothing"/>
      <w:lvlText w:val="（%1）"/>
      <w:lvlJc w:val="left"/>
      <w:rPr>
        <w:rFonts w:hint="eastAsia"/>
      </w:rPr>
    </w:lvl>
  </w:abstractNum>
  <w:abstractNum w:abstractNumId="1">
    <w:nsid w:val="D8233BA4"/>
    <w:multiLevelType w:val="singleLevel"/>
    <w:tmpl w:val="D8233BA4"/>
    <w:lvl w:ilvl="0" w:tentative="0">
      <w:start w:val="1"/>
      <w:numFmt w:val="chineseCounting"/>
      <w:suff w:val="nothing"/>
      <w:lvlText w:val="%1、"/>
      <w:lvlJc w:val="left"/>
      <w:rPr>
        <w:rFonts w:hint="eastAsia"/>
      </w:rPr>
    </w:lvl>
  </w:abstractNum>
  <w:abstractNum w:abstractNumId="2">
    <w:nsid w:val="22EE2D93"/>
    <w:multiLevelType w:val="singleLevel"/>
    <w:tmpl w:val="22EE2D93"/>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xMjRmNTBhYmQ4MDUzYTg1ZWZlNTFmMGYxZDZhM2IifQ=="/>
  </w:docVars>
  <w:rsids>
    <w:rsidRoot w:val="170812E0"/>
    <w:rsid w:val="170812E0"/>
    <w:rsid w:val="18C04668"/>
    <w:rsid w:val="19166B54"/>
    <w:rsid w:val="19B105C1"/>
    <w:rsid w:val="1C3404B6"/>
    <w:rsid w:val="1D061D12"/>
    <w:rsid w:val="2487308A"/>
    <w:rsid w:val="29537CE0"/>
    <w:rsid w:val="3117323C"/>
    <w:rsid w:val="314B20D2"/>
    <w:rsid w:val="3D9E693E"/>
    <w:rsid w:val="3EF21442"/>
    <w:rsid w:val="46DA1AD6"/>
    <w:rsid w:val="477E06B3"/>
    <w:rsid w:val="4A7F6C2A"/>
    <w:rsid w:val="59215342"/>
    <w:rsid w:val="61882403"/>
    <w:rsid w:val="720553A9"/>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afterLines="0" w:afterAutospacing="0"/>
    </w:pPr>
  </w:style>
  <w:style w:type="paragraph" w:styleId="3">
    <w:name w:val="table of authorities"/>
    <w:basedOn w:val="1"/>
    <w:next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List Paragraph"/>
    <w:basedOn w:val="1"/>
    <w:autoRedefine/>
    <w:qFormat/>
    <w:uiPriority w:val="99"/>
    <w:pPr>
      <w:ind w:firstLine="420" w:firstLineChars="200"/>
    </w:pPr>
    <w:rPr>
      <w:rFonts w:ascii="Calibri" w:hAnsi="Calibri"/>
      <w:szCs w:val="22"/>
    </w:rPr>
  </w:style>
  <w:style w:type="paragraph" w:customStyle="1" w:styleId="8">
    <w:name w:val="Default"/>
    <w:autoRedefine/>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548</Words>
  <Characters>560</Characters>
  <Lines>0</Lines>
  <Paragraphs>0</Paragraphs>
  <TotalTime>2</TotalTime>
  <ScaleCrop>false</ScaleCrop>
  <LinksUpToDate>false</LinksUpToDate>
  <CharactersWithSpaces>564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韩慧</cp:lastModifiedBy>
  <dcterms:modified xsi:type="dcterms:W3CDTF">2025-08-26T02:04:39Z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C758BC6BBF1444D0A1E299151111563A</vt:lpwstr>
  </property>
</Properties>
</file>