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lang w:eastAsia="zh-CN"/>
        </w:rPr>
        <w:t>岳阳市</w:t>
      </w:r>
      <w:r>
        <w:rPr>
          <w:rFonts w:hint="eastAsia" w:ascii="方正小标宋简体" w:hAnsi="Calibri" w:eastAsia="方正小标宋简体" w:cs="Times New Roman"/>
          <w:sz w:val="44"/>
          <w:szCs w:val="44"/>
        </w:rPr>
        <w:t>屈原管理区</w:t>
      </w:r>
    </w:p>
    <w:p>
      <w:pPr>
        <w:keepNext w:val="0"/>
        <w:keepLines w:val="0"/>
        <w:pageBreakBefore w:val="0"/>
        <w:widowControl w:val="0"/>
        <w:kinsoku/>
        <w:wordWrap/>
        <w:overflowPunct/>
        <w:topLinePunct w:val="0"/>
        <w:autoSpaceDE/>
        <w:autoSpaceDN/>
        <w:bidi w:val="0"/>
        <w:adjustRightInd/>
        <w:snapToGrid/>
        <w:ind w:left="-210" w:leftChars="-100"/>
        <w:jc w:val="center"/>
        <w:textAlignment w:val="auto"/>
        <w:rPr>
          <w:rFonts w:hint="eastAsia" w:ascii="方正小标宋简体" w:hAnsi="Calibri" w:eastAsia="方正小标宋简体" w:cs="Times New Roman"/>
          <w:sz w:val="44"/>
          <w:szCs w:val="44"/>
          <w:lang w:eastAsia="zh-CN"/>
        </w:rPr>
      </w:pPr>
      <w:r>
        <w:rPr>
          <w:rFonts w:hint="eastAsia" w:ascii="方正小标宋简体" w:hAnsi="Calibri" w:eastAsia="方正小标宋简体" w:cs="Times New Roman"/>
          <w:sz w:val="44"/>
          <w:szCs w:val="44"/>
          <w:lang w:eastAsia="zh-CN"/>
        </w:rPr>
        <w:t>关于</w:t>
      </w:r>
      <w:r>
        <w:rPr>
          <w:rFonts w:hint="eastAsia" w:ascii="方正小标宋简体" w:hAnsi="Calibri" w:eastAsia="方正小标宋简体" w:cs="Times New Roman"/>
          <w:sz w:val="44"/>
          <w:szCs w:val="44"/>
        </w:rPr>
        <w:t>202</w:t>
      </w:r>
      <w:r>
        <w:rPr>
          <w:rFonts w:hint="eastAsia" w:ascii="方正小标宋简体" w:hAnsi="Calibri" w:eastAsia="方正小标宋简体" w:cs="Times New Roman"/>
          <w:sz w:val="44"/>
          <w:szCs w:val="44"/>
          <w:lang w:val="en-US" w:eastAsia="zh-CN"/>
        </w:rPr>
        <w:t>4</w:t>
      </w:r>
      <w:r>
        <w:rPr>
          <w:rFonts w:hint="eastAsia" w:ascii="方正小标宋简体" w:hAnsi="Calibri" w:eastAsia="方正小标宋简体" w:cs="Times New Roman"/>
          <w:sz w:val="44"/>
          <w:szCs w:val="44"/>
        </w:rPr>
        <w:t>年度预算绩效管理工作</w:t>
      </w:r>
      <w:r>
        <w:rPr>
          <w:rFonts w:hint="eastAsia" w:ascii="方正小标宋简体" w:hAnsi="Calibri" w:eastAsia="方正小标宋简体" w:cs="Times New Roman"/>
          <w:sz w:val="44"/>
          <w:szCs w:val="44"/>
          <w:lang w:eastAsia="zh-CN"/>
        </w:rPr>
        <w:t>自评的报告</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省财政厅：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2024年，我区</w:t>
      </w:r>
      <w:r>
        <w:rPr>
          <w:rFonts w:hint="eastAsia" w:ascii="仿宋" w:hAnsi="仿宋" w:eastAsia="仿宋" w:cs="仿宋"/>
          <w:sz w:val="32"/>
          <w:szCs w:val="32"/>
          <w:lang w:eastAsia="zh-CN"/>
        </w:rPr>
        <w:t>认真落实上级和区党委、区管委工作安排，全力推进财政高质量发展，紧扣“绩效管理巩固年”行动实施方案，扎实推进“绩效管理巩固年”行动，现将预算绩效管理工作相关情况汇报如下：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一、202</w:t>
      </w:r>
      <w:r>
        <w:rPr>
          <w:rFonts w:hint="eastAsia" w:ascii="黑体" w:hAnsi="黑体" w:eastAsia="黑体" w:cs="Times New Roman"/>
          <w:sz w:val="32"/>
          <w:szCs w:val="32"/>
          <w:lang w:val="en-US" w:eastAsia="zh-CN"/>
        </w:rPr>
        <w:t>4</w:t>
      </w:r>
      <w:r>
        <w:rPr>
          <w:rFonts w:hint="eastAsia" w:ascii="黑体" w:hAnsi="黑体" w:eastAsia="黑体" w:cs="Times New Roman"/>
          <w:sz w:val="32"/>
          <w:szCs w:val="32"/>
        </w:rPr>
        <w:t>年绩效工作取得的成效和亮点工作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仿宋"/>
          <w:sz w:val="32"/>
          <w:szCs w:val="32"/>
          <w:lang w:eastAsia="zh-CN"/>
        </w:rPr>
      </w:pPr>
      <w:r>
        <w:rPr>
          <w:rFonts w:hint="eastAsia" w:ascii="楷体" w:hAnsi="楷体" w:eastAsia="楷体"/>
          <w:sz w:val="32"/>
          <w:szCs w:val="32"/>
        </w:rPr>
        <w:t>（一）夯实预算绩效管理制度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进一步完善预算绩效管理制度。按照预算绩效管理工作相关要求，我区结合本地实际制定了《岳阳市屈原管理区绩效目标管理办法》、《岳阳市屈原管理区预算绩效监控管理办法》、《岳阳市屈原管理区财政支出绩效评价管理办法》、《岳阳市屈原管理区财政支出绩效评价结果应用管理办法》等相关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（二）落实事前绩效评估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2024年我区全面实施预算绩效管理，优化财政资金配置，从源头上防控财政资源的低效无效，提升行政决策的科学性，我区将</w:t>
      </w:r>
      <w:r>
        <w:rPr>
          <w:rFonts w:hint="eastAsia" w:ascii="仿宋" w:hAnsi="仿宋" w:eastAsia="仿宋" w:cs="仿宋"/>
          <w:b w:val="0"/>
          <w:bCs w:val="0"/>
          <w:snapToGrid w:val="0"/>
          <w:color w:val="auto"/>
          <w:kern w:val="44"/>
          <w:sz w:val="32"/>
          <w:szCs w:val="32"/>
          <w:highlight w:val="none"/>
          <w:lang w:val="en-US" w:eastAsia="zh-CN" w:bidi="ar"/>
        </w:rPr>
        <w:t>新增重大财政支出政策和项目200万元以上的</w:t>
      </w:r>
      <w:r>
        <w:rPr>
          <w:rFonts w:hint="eastAsia" w:ascii="仿宋" w:hAnsi="仿宋" w:eastAsia="仿宋" w:cs="仿宋"/>
          <w:sz w:val="32"/>
          <w:szCs w:val="32"/>
          <w:lang w:eastAsia="zh-CN"/>
        </w:rPr>
        <w:t>纳入事前绩效评估管理范围，并运用科学合理的评估方法，就项目的立项必要性、投入经济性、绩效目标合理性、实施方案可行性等进行客观、公正的评估，评估结果作为申请预算必要条件。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（三）提升绩效目标和指标质量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一是按照定性指标可衡量、定量指标应量化的要求，依据评价项目特点和评价工作需要，对共性指标框架进行具体细化和优化，进一步建立了分行业、分领域、分层级的核心绩效指标体系。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二是按照上级要求推动绩效管理扩围升级，将全区部门预算单位的项目资金全部纳入绩效管理范围，并根据不同预算资金的性质和特点统筹实施。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三是预算编制强化绩效目标管理。2024年全区</w:t>
      </w:r>
      <w:r>
        <w:rPr>
          <w:rFonts w:hint="eastAsia" w:ascii="仿宋" w:hAnsi="仿宋" w:eastAsia="仿宋" w:cs="仿宋"/>
          <w:sz w:val="32"/>
          <w:szCs w:val="32"/>
          <w:lang w:val="en-US" w:eastAsia="zh-CN"/>
        </w:rPr>
        <w:t>48</w:t>
      </w:r>
      <w:r>
        <w:rPr>
          <w:rFonts w:hint="eastAsia" w:ascii="仿宋" w:hAnsi="仿宋" w:eastAsia="仿宋" w:cs="仿宋"/>
          <w:sz w:val="32"/>
          <w:szCs w:val="32"/>
          <w:lang w:eastAsia="zh-CN"/>
        </w:rPr>
        <w:t>个预算单位的部门预算资金全部纳入绩效管理范围。组织开展部门整体支出绩效目标编报，涉及资金</w:t>
      </w:r>
      <w:r>
        <w:rPr>
          <w:rFonts w:hint="eastAsia" w:ascii="仿宋" w:hAnsi="仿宋" w:eastAsia="仿宋" w:cs="仿宋"/>
          <w:sz w:val="32"/>
          <w:szCs w:val="32"/>
          <w:lang w:val="en-US" w:eastAsia="zh-CN"/>
        </w:rPr>
        <w:t>102383.47万元</w:t>
      </w:r>
      <w:r>
        <w:rPr>
          <w:rFonts w:hint="eastAsia" w:ascii="仿宋" w:hAnsi="仿宋" w:eastAsia="仿宋" w:cs="仿宋"/>
          <w:sz w:val="32"/>
          <w:szCs w:val="32"/>
          <w:lang w:eastAsia="zh-CN"/>
        </w:rPr>
        <w:t>，开展项目支出绩效目标编报的项目共有</w:t>
      </w:r>
      <w:r>
        <w:rPr>
          <w:rFonts w:hint="eastAsia" w:ascii="仿宋" w:hAnsi="仿宋" w:eastAsia="仿宋" w:cs="仿宋"/>
          <w:sz w:val="32"/>
          <w:szCs w:val="32"/>
          <w:lang w:val="en-US" w:eastAsia="zh-CN"/>
        </w:rPr>
        <w:t>168个，涉及资金7271.31万元。</w:t>
      </w:r>
      <w:r>
        <w:rPr>
          <w:rFonts w:hint="eastAsia" w:ascii="仿宋" w:hAnsi="仿宋" w:eastAsia="仿宋" w:cs="仿宋"/>
          <w:sz w:val="32"/>
          <w:szCs w:val="32"/>
          <w:lang w:eastAsia="zh-CN"/>
        </w:rPr>
        <w:t>根据2025年部门预算统一部署，各预算单位同步编报2025年度预算绩效目标（含整体和项目），财政部门组织对预算绩效目标申报跟踪审核，</w:t>
      </w:r>
      <w:r>
        <w:rPr>
          <w:rFonts w:hint="eastAsia" w:ascii="仿宋" w:hAnsi="仿宋" w:eastAsia="仿宋" w:cs="仿宋"/>
          <w:sz w:val="32"/>
          <w:szCs w:val="32"/>
          <w:lang w:val="en-US" w:eastAsia="zh-CN"/>
        </w:rPr>
        <w:t>2025年预算编制共审减项目98个，审减资金6202.11万元。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（四）加强预算绩效运行监控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在预算执行环节，按照“谁支出、谁负责”的原则，我区在</w:t>
      </w:r>
      <w:r>
        <w:rPr>
          <w:rFonts w:hint="eastAsia" w:ascii="仿宋" w:hAnsi="仿宋" w:eastAsia="仿宋" w:cs="仿宋"/>
          <w:sz w:val="32"/>
          <w:szCs w:val="32"/>
          <w:lang w:val="en-US" w:eastAsia="zh-CN"/>
        </w:rPr>
        <w:t>11月份</w:t>
      </w:r>
      <w:r>
        <w:rPr>
          <w:rFonts w:hint="eastAsia" w:ascii="仿宋" w:hAnsi="仿宋" w:eastAsia="仿宋" w:cs="仿宋"/>
          <w:sz w:val="32"/>
          <w:szCs w:val="32"/>
          <w:lang w:eastAsia="zh-CN"/>
        </w:rPr>
        <w:t>组织对</w:t>
      </w:r>
      <w:r>
        <w:rPr>
          <w:rFonts w:hint="eastAsia" w:ascii="仿宋" w:hAnsi="仿宋" w:eastAsia="仿宋" w:cs="仿宋"/>
          <w:sz w:val="32"/>
          <w:szCs w:val="32"/>
          <w:lang w:val="en-US" w:eastAsia="zh-CN"/>
        </w:rPr>
        <w:t>48个预算单位本年度1-10月份财政资金绩效目标运行情况</w:t>
      </w:r>
      <w:r>
        <w:rPr>
          <w:rFonts w:hint="eastAsia" w:ascii="仿宋" w:hAnsi="仿宋" w:eastAsia="仿宋" w:cs="仿宋"/>
          <w:sz w:val="32"/>
          <w:szCs w:val="32"/>
          <w:lang w:eastAsia="zh-CN"/>
        </w:rPr>
        <w:t>和预算执行进度监控，针对发现的问题分析原因并要求项目单位及时纠正，逐步建立重大政策、项目绩效跟踪机制，科学调度资金，切实提高预算执行效率。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（五）组织开展绩效评价工作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一是组织全区开展2023年部门预算整体支出绩效自评工作，实施绩效自评部门</w:t>
      </w:r>
      <w:r>
        <w:rPr>
          <w:rFonts w:hint="eastAsia" w:ascii="仿宋" w:hAnsi="仿宋" w:eastAsia="仿宋" w:cs="仿宋"/>
          <w:sz w:val="32"/>
          <w:szCs w:val="32"/>
          <w:lang w:val="en-US" w:eastAsia="zh-CN"/>
        </w:rPr>
        <w:t>48</w:t>
      </w:r>
      <w:r>
        <w:rPr>
          <w:rFonts w:hint="eastAsia" w:ascii="仿宋" w:hAnsi="仿宋" w:eastAsia="仿宋" w:cs="仿宋"/>
          <w:sz w:val="32"/>
          <w:szCs w:val="32"/>
          <w:lang w:eastAsia="zh-CN"/>
        </w:rPr>
        <w:t>个，涉及金额</w:t>
      </w:r>
      <w:r>
        <w:rPr>
          <w:rFonts w:hint="eastAsia" w:ascii="仿宋" w:hAnsi="仿宋" w:eastAsia="仿宋" w:cs="仿宋"/>
          <w:sz w:val="32"/>
          <w:szCs w:val="32"/>
          <w:highlight w:val="none"/>
          <w:lang w:val="en-US" w:eastAsia="zh-CN"/>
        </w:rPr>
        <w:t>93983.25</w:t>
      </w:r>
      <w:r>
        <w:rPr>
          <w:rFonts w:hint="eastAsia" w:ascii="仿宋" w:hAnsi="仿宋" w:eastAsia="仿宋" w:cs="仿宋"/>
          <w:sz w:val="32"/>
          <w:szCs w:val="32"/>
          <w:lang w:eastAsia="zh-CN"/>
        </w:rPr>
        <w:t>万元，二是组织开展2023年项目支出绩效自评工作，对纳入绩效管理的项目支出自评价覆盖面达到100%，全年实施绩效自评项目</w:t>
      </w:r>
      <w:r>
        <w:rPr>
          <w:rFonts w:hint="eastAsia" w:ascii="仿宋" w:hAnsi="仿宋" w:eastAsia="仿宋" w:cs="仿宋"/>
          <w:sz w:val="32"/>
          <w:szCs w:val="32"/>
          <w:lang w:val="en-US" w:eastAsia="zh-CN"/>
        </w:rPr>
        <w:t>203</w:t>
      </w:r>
      <w:r>
        <w:rPr>
          <w:rFonts w:hint="eastAsia" w:ascii="仿宋" w:hAnsi="仿宋" w:eastAsia="仿宋" w:cs="仿宋"/>
          <w:sz w:val="32"/>
          <w:szCs w:val="32"/>
          <w:lang w:eastAsia="zh-CN"/>
        </w:rPr>
        <w:t>个，涉及金额</w:t>
      </w:r>
      <w:r>
        <w:rPr>
          <w:rFonts w:hint="eastAsia" w:ascii="仿宋" w:hAnsi="仿宋" w:eastAsia="仿宋" w:cs="仿宋"/>
          <w:sz w:val="32"/>
          <w:szCs w:val="32"/>
          <w:highlight w:val="none"/>
          <w:lang w:val="en-US" w:eastAsia="zh-CN"/>
        </w:rPr>
        <w:t>18711.3</w:t>
      </w:r>
      <w:r>
        <w:rPr>
          <w:rFonts w:hint="eastAsia" w:ascii="仿宋" w:hAnsi="仿宋" w:eastAsia="仿宋" w:cs="仿宋"/>
          <w:sz w:val="32"/>
          <w:szCs w:val="32"/>
          <w:lang w:eastAsia="zh-CN"/>
        </w:rPr>
        <w:t>万元，三是组织开展重点绩效评价工作，选取水利局和教育局</w:t>
      </w:r>
      <w:r>
        <w:rPr>
          <w:rFonts w:hint="eastAsia" w:ascii="仿宋" w:hAnsi="仿宋" w:eastAsia="仿宋" w:cs="仿宋"/>
          <w:sz w:val="32"/>
          <w:szCs w:val="32"/>
          <w:lang w:val="en-US" w:eastAsia="zh-CN"/>
        </w:rPr>
        <w:t>2个项目对预算单位自评报告质量实施跟踪再评价，并将评价结果和整改情况纳入2024年度全区综合绩效考核。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（六）加大信息公开力度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绩效管理信息公开相关要求，2024年预算下达后各单位将《部门整体支出绩效目标表》《项目支出绩效目标表》和部门整体支出绩效目标报告、项目支出绩效目标报告在屈原管理区政府网站预决算公开专栏进行公开，主动接受人大和社会各界的监督。</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总的来看，我区预算绩效管理工作虽然取得了一些成绩，但也存在一些问题需要解决。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一是</w:t>
      </w:r>
      <w:r>
        <w:rPr>
          <w:rFonts w:hint="eastAsia" w:ascii="仿宋" w:hAnsi="仿宋" w:eastAsia="仿宋" w:cs="仿宋"/>
          <w:sz w:val="32"/>
          <w:szCs w:val="32"/>
        </w:rPr>
        <w:t>业财配合不紧密，指标设置欠科学。业务部门内部股室之间“业财”配合不佳，认为绩效管理是财务人员的事，业务人员参与度不高，导致绩效目标设置不具体、不合理、不全面。个性指标弱化，共性指标固化虚化，没有突出问题导向，不利于实现绩效评价的准确性和效率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二是</w:t>
      </w:r>
      <w:r>
        <w:rPr>
          <w:rFonts w:hint="eastAsia" w:ascii="仿宋" w:hAnsi="仿宋" w:eastAsia="仿宋" w:cs="仿宋"/>
          <w:sz w:val="32"/>
          <w:szCs w:val="32"/>
        </w:rPr>
        <w:t>专业人员配备不全，绩效管理不深入。虽然我们财政部门制定出台了一系列全面推进预算绩效管理的制度办法，但在实务操作过程中，绩效评价的人员配置和专业水平仍有较大欠缺。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仿宋" w:hAnsi="仿宋" w:eastAsia="仿宋" w:cs="仿宋"/>
          <w:sz w:val="32"/>
          <w:szCs w:val="32"/>
          <w:lang w:eastAsia="zh-CN"/>
        </w:rPr>
        <w:t>三是</w:t>
      </w:r>
      <w:r>
        <w:rPr>
          <w:rFonts w:hint="eastAsia" w:ascii="仿宋" w:hAnsi="仿宋" w:eastAsia="仿宋" w:cs="仿宋"/>
          <w:sz w:val="32"/>
          <w:szCs w:val="32"/>
        </w:rPr>
        <w:t>绩效激励约束作用不强,推动作用有局限。绩效评价结果的应用力度不够，与预算安排和政策调整的挂钩机制不健全不完善，未能充分发挥绩效评价对预期的正向引导作用。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三、下一步工作思路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lang w:eastAsia="zh-CN"/>
        </w:rPr>
        <w:t>（一）树牢预算绩效管理理念，提升业务水平</w:t>
      </w:r>
      <w:r>
        <w:rPr>
          <w:rFonts w:hint="eastAsia" w:ascii="仿宋" w:hAnsi="仿宋" w:eastAsia="仿宋" w:cs="仿宋"/>
          <w:i w:val="0"/>
          <w:iCs w:val="0"/>
          <w:caps w:val="0"/>
          <w:color w:val="auto"/>
          <w:spacing w:val="0"/>
          <w:sz w:val="32"/>
          <w:szCs w:val="32"/>
          <w:shd w:val="clear" w:fill="FFFFFF"/>
          <w:lang w:eastAsia="zh-CN"/>
        </w:rPr>
        <w:t>。财政干部带头加强自身学习，加强预算绩效管理培训，全年开展学习培训五次，推动业务部门和财政财务部门的工作融合。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（二）系统科学设置绩效体系，筑牢绩效基础</w:t>
      </w:r>
      <w:r>
        <w:rPr>
          <w:rFonts w:hint="eastAsia" w:ascii="仿宋" w:hAnsi="仿宋" w:eastAsia="仿宋" w:cs="仿宋"/>
          <w:i w:val="0"/>
          <w:iCs w:val="0"/>
          <w:caps w:val="0"/>
          <w:color w:val="auto"/>
          <w:spacing w:val="0"/>
          <w:sz w:val="32"/>
          <w:szCs w:val="32"/>
          <w:shd w:val="clear" w:fill="FFFFFF"/>
          <w:lang w:val="en-US" w:eastAsia="zh-CN"/>
        </w:rPr>
        <w:t>。进一步建立健全绩效目标设置和绩效评价体系，优化完善绩效评价标准，促进绩效评价管理水平的不断提升。压实绩效管理责任，明确各部门职责分工，严格履行主体职责，加强部门协作，建立规范有效的绩效运行监控机制，确保资金使用无偏离，绩效目标不走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（三）强化绩效评价结果监管,突出结果导向。</w:t>
      </w:r>
      <w:r>
        <w:rPr>
          <w:rFonts w:hint="eastAsia" w:ascii="仿宋" w:hAnsi="仿宋" w:eastAsia="仿宋" w:cs="仿宋"/>
          <w:b w:val="0"/>
          <w:bCs w:val="0"/>
          <w:i w:val="0"/>
          <w:iCs w:val="0"/>
          <w:caps w:val="0"/>
          <w:color w:val="auto"/>
          <w:spacing w:val="0"/>
          <w:sz w:val="32"/>
          <w:szCs w:val="32"/>
          <w:shd w:val="clear" w:fill="FFFFFF"/>
          <w:lang w:val="en-US" w:eastAsia="zh-CN"/>
        </w:rPr>
        <w:t>健全完善绩效评价结果与预算安排和政策调整的挂钩机制，将绩效评价结果应用情况列入财政部门日常监管范围，定期开展专项检查，对未实施结果应用的部门进行通报，作为贯彻全面实施绩效管理的长效机制。建立多方联动的工作机制，财政主动汇报、对接人大、纪检监察、审计等相关部门建立联动机制，形成工作合力，加强绩效监督问责，同时进一步加大绩效信息公开力度，提高信息公开透明度，发挥社会公众监督作用，倒逼部门绩效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岳阳市屈原管理区财政局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2024年12月16日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498F4"/>
    <w:multiLevelType w:val="singleLevel"/>
    <w:tmpl w:val="3BE498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00000000"/>
    <w:rsid w:val="00853C39"/>
    <w:rsid w:val="021C0151"/>
    <w:rsid w:val="02F27EEA"/>
    <w:rsid w:val="0ABA0FCF"/>
    <w:rsid w:val="0EA63619"/>
    <w:rsid w:val="0EF218BA"/>
    <w:rsid w:val="0FF94947"/>
    <w:rsid w:val="11EA1B72"/>
    <w:rsid w:val="1B32302D"/>
    <w:rsid w:val="1C42700E"/>
    <w:rsid w:val="1C75322F"/>
    <w:rsid w:val="20290166"/>
    <w:rsid w:val="22B93427"/>
    <w:rsid w:val="23C142D5"/>
    <w:rsid w:val="27131CCF"/>
    <w:rsid w:val="271433BD"/>
    <w:rsid w:val="27B01338"/>
    <w:rsid w:val="2C5E6E22"/>
    <w:rsid w:val="322E44E1"/>
    <w:rsid w:val="35FE7713"/>
    <w:rsid w:val="39A97A4B"/>
    <w:rsid w:val="3DA81802"/>
    <w:rsid w:val="4B62209A"/>
    <w:rsid w:val="4C653BF0"/>
    <w:rsid w:val="4D1C2677"/>
    <w:rsid w:val="50FE1CB4"/>
    <w:rsid w:val="535D03FF"/>
    <w:rsid w:val="54703A7A"/>
    <w:rsid w:val="5E413D91"/>
    <w:rsid w:val="638210D3"/>
    <w:rsid w:val="67311E92"/>
    <w:rsid w:val="686139AD"/>
    <w:rsid w:val="6BCE3108"/>
    <w:rsid w:val="764C56FC"/>
    <w:rsid w:val="772A6665"/>
    <w:rsid w:val="79C30024"/>
    <w:rsid w:val="7C4A6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2024-12-11T10:58:00Z</dcterms:created>
  <dc:creator>Administrator</dc:creator>
  <cp:lastModifiedBy>徐江</cp:lastModifiedBy>
  <cp:lastPrinted>2024-12-16T06:57:00Z</cp:lastPrinted>
  <dcterms:modified xsi:type="dcterms:W3CDTF">2024-12-16T07:35:47Z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E6061650FB254DF6AEF2A32DA102ACB0_13</vt:lpwstr>
  </property>
</Properties>
</file>